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附件</w:t>
      </w:r>
    </w:p>
    <w:p>
      <w:pPr>
        <w:pStyle w:val="4"/>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深圳市审计局2021年度信息化运维和网络安全驻点服务项目招标需求</w:t>
      </w:r>
    </w:p>
    <w:p>
      <w:pPr>
        <w:pStyle w:val="5"/>
        <w:ind w:firstLine="440"/>
        <w:jc w:val="center"/>
        <w:rPr>
          <w:rFonts w:hint="eastAsia"/>
        </w:rPr>
      </w:pPr>
    </w:p>
    <w:p>
      <w:pPr>
        <w:widowControl/>
        <w:spacing w:line="360" w:lineRule="auto"/>
        <w:ind w:firstLine="420" w:firstLineChars="200"/>
        <w:jc w:val="left"/>
        <w:rPr>
          <w:rFonts w:hint="eastAsia"/>
          <w:color w:val="000000"/>
        </w:rPr>
      </w:pPr>
      <w:r>
        <w:rPr>
          <w:rFonts w:hint="eastAsia"/>
          <w:color w:val="000000"/>
        </w:rPr>
        <w:t>根据相关规定，深圳市审计局以自行采购方式进行</w:t>
      </w:r>
      <w:r>
        <w:rPr>
          <w:color w:val="000000"/>
        </w:rPr>
        <w:t>2021</w:t>
      </w:r>
      <w:r>
        <w:rPr>
          <w:rFonts w:hint="eastAsia"/>
          <w:color w:val="000000"/>
        </w:rPr>
        <w:t>年度信息化运维和网络安全驻点服务项目的采购工作，请有意参与的单位按以下要求于</w:t>
      </w:r>
      <w:r>
        <w:rPr>
          <w:color w:val="000000"/>
        </w:rPr>
        <w:t>2020</w:t>
      </w:r>
      <w:r>
        <w:rPr>
          <w:rFonts w:hint="eastAsia"/>
          <w:color w:val="000000"/>
        </w:rPr>
        <w:t>年</w:t>
      </w:r>
      <w:r>
        <w:rPr>
          <w:color w:val="000000"/>
        </w:rPr>
        <w:t>12</w:t>
      </w:r>
      <w:r>
        <w:rPr>
          <w:rFonts w:hint="eastAsia"/>
          <w:color w:val="000000"/>
        </w:rPr>
        <w:t>月30日</w:t>
      </w:r>
      <w:r>
        <w:rPr>
          <w:color w:val="000000"/>
        </w:rPr>
        <w:t>1</w:t>
      </w:r>
      <w:r>
        <w:rPr>
          <w:rFonts w:hint="eastAsia"/>
          <w:color w:val="000000"/>
        </w:rPr>
        <w:t>7时前将投标文件密封送至深圳市福田区建安山海中心</w:t>
      </w:r>
      <w:r>
        <w:rPr>
          <w:color w:val="000000"/>
        </w:rPr>
        <w:t>2101</w:t>
      </w:r>
      <w:r>
        <w:rPr>
          <w:rFonts w:hint="eastAsia"/>
          <w:color w:val="000000"/>
        </w:rPr>
        <w:t>室。</w:t>
      </w:r>
    </w:p>
    <w:p>
      <w:pPr>
        <w:widowControl/>
        <w:spacing w:line="360" w:lineRule="auto"/>
        <w:jc w:val="left"/>
        <w:rPr>
          <w:color w:val="000000"/>
        </w:rPr>
      </w:pPr>
    </w:p>
    <w:p/>
    <w:p>
      <w:pPr>
        <w:widowControl/>
        <w:spacing w:line="360" w:lineRule="auto"/>
        <w:jc w:val="left"/>
        <w:rPr>
          <w:b/>
          <w:sz w:val="24"/>
        </w:rPr>
      </w:pPr>
      <w:r>
        <w:rPr>
          <w:rFonts w:hint="eastAsia"/>
          <w:b/>
          <w:sz w:val="24"/>
        </w:rPr>
        <w:t>一、采购内容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723"/>
        <w:gridCol w:w="3055"/>
        <w:gridCol w:w="80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szCs w:val="21"/>
              </w:rPr>
            </w:pPr>
            <w:r>
              <w:rPr>
                <w:rFonts w:hint="eastAsia" w:ascii="宋体" w:hAnsi="宋体"/>
                <w:b/>
                <w:szCs w:val="21"/>
              </w:rPr>
              <w:t>序号</w:t>
            </w:r>
          </w:p>
        </w:tc>
        <w:tc>
          <w:tcPr>
            <w:tcW w:w="272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szCs w:val="21"/>
              </w:rPr>
            </w:pPr>
            <w:r>
              <w:rPr>
                <w:rFonts w:hint="eastAsia" w:ascii="宋体" w:hAnsi="宋体"/>
                <w:b/>
                <w:szCs w:val="21"/>
              </w:rPr>
              <w:t>事项名称</w:t>
            </w:r>
          </w:p>
        </w:tc>
        <w:tc>
          <w:tcPr>
            <w:tcW w:w="305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szCs w:val="21"/>
              </w:rPr>
            </w:pPr>
            <w:r>
              <w:rPr>
                <w:rFonts w:hint="eastAsia" w:ascii="宋体" w:hAnsi="宋体"/>
                <w:b/>
                <w:bCs/>
                <w:szCs w:val="21"/>
              </w:rPr>
              <w:t>型号规格、主要技术参数</w:t>
            </w:r>
          </w:p>
        </w:tc>
        <w:tc>
          <w:tcPr>
            <w:tcW w:w="80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szCs w:val="21"/>
              </w:rPr>
            </w:pPr>
            <w:r>
              <w:rPr>
                <w:rFonts w:hint="eastAsia" w:ascii="宋体" w:hAnsi="宋体"/>
                <w:b/>
                <w:szCs w:val="21"/>
              </w:rPr>
              <w:t>数量</w:t>
            </w:r>
          </w:p>
        </w:tc>
        <w:tc>
          <w:tcPr>
            <w:tcW w:w="121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1</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Cs w:val="21"/>
              </w:rPr>
            </w:pPr>
            <w:r>
              <w:rPr>
                <w:rFonts w:hint="eastAsia"/>
                <w:color w:val="000000"/>
              </w:rPr>
              <w:t>深圳市审计局</w:t>
            </w:r>
            <w:r>
              <w:rPr>
                <w:color w:val="000000"/>
              </w:rPr>
              <w:t>2021</w:t>
            </w:r>
            <w:r>
              <w:rPr>
                <w:rFonts w:hint="eastAsia"/>
                <w:color w:val="000000"/>
              </w:rPr>
              <w:t>年度信息化运维和网络安全驻点服务项目</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详见采购项目相关要求</w:t>
            </w:r>
          </w:p>
        </w:tc>
        <w:tc>
          <w:tcPr>
            <w:tcW w:w="8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1年</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szCs w:val="21"/>
              </w:rPr>
            </w:pPr>
          </w:p>
        </w:tc>
      </w:tr>
    </w:tbl>
    <w:p>
      <w:pPr>
        <w:rPr>
          <w:rFonts w:ascii="Times New Roman" w:hAnsi="Times New Roman"/>
        </w:rPr>
      </w:pPr>
    </w:p>
    <w:p>
      <w:pPr>
        <w:pStyle w:val="6"/>
        <w:numPr>
          <w:ilvl w:val="0"/>
          <w:numId w:val="1"/>
        </w:numPr>
        <w:autoSpaceDE w:val="0"/>
        <w:autoSpaceDN w:val="0"/>
        <w:adjustRightInd w:val="0"/>
        <w:snapToGrid w:val="0"/>
        <w:spacing w:after="200" w:line="360" w:lineRule="auto"/>
        <w:ind w:firstLineChars="0"/>
        <w:rPr>
          <w:rFonts w:ascii="宋体" w:hAnsi="宋体"/>
          <w:b/>
          <w:bCs/>
          <w:spacing w:val="-4"/>
          <w:sz w:val="24"/>
          <w:szCs w:val="21"/>
        </w:rPr>
      </w:pPr>
      <w:r>
        <w:rPr>
          <w:rFonts w:hint="eastAsia" w:ascii="宋体" w:hAnsi="宋体"/>
          <w:b/>
          <w:bCs/>
          <w:spacing w:val="-4"/>
          <w:sz w:val="24"/>
          <w:szCs w:val="21"/>
        </w:rPr>
        <w:t>采购项目相关要求</w:t>
      </w:r>
    </w:p>
    <w:p>
      <w:pPr>
        <w:pStyle w:val="6"/>
        <w:numPr>
          <w:ilvl w:val="0"/>
          <w:numId w:val="2"/>
        </w:numPr>
        <w:autoSpaceDE w:val="0"/>
        <w:autoSpaceDN w:val="0"/>
        <w:adjustRightInd w:val="0"/>
        <w:snapToGrid w:val="0"/>
        <w:spacing w:after="200" w:line="360" w:lineRule="auto"/>
        <w:ind w:firstLineChars="0"/>
        <w:rPr>
          <w:rFonts w:hint="eastAsia" w:ascii="宋体" w:hAnsi="宋体"/>
          <w:b/>
          <w:bCs/>
          <w:spacing w:val="-4"/>
          <w:sz w:val="24"/>
          <w:szCs w:val="21"/>
        </w:rPr>
      </w:pPr>
      <w:r>
        <w:rPr>
          <w:rFonts w:hint="eastAsia" w:ascii="宋体" w:hAnsi="宋体"/>
          <w:b/>
          <w:bCs/>
          <w:spacing w:val="-4"/>
          <w:sz w:val="24"/>
          <w:szCs w:val="21"/>
        </w:rPr>
        <w:t>项目内容</w:t>
      </w:r>
    </w:p>
    <w:p>
      <w:pPr>
        <w:spacing w:line="360" w:lineRule="auto"/>
        <w:ind w:firstLine="420" w:firstLineChars="200"/>
        <w:rPr>
          <w:rFonts w:hint="eastAsia" w:ascii="宋体" w:hAnsi="宋体"/>
          <w:szCs w:val="21"/>
        </w:rPr>
      </w:pPr>
      <w:r>
        <w:rPr>
          <w:rFonts w:hint="eastAsia" w:ascii="宋体" w:hAnsi="宋体"/>
          <w:szCs w:val="21"/>
        </w:rPr>
        <w:t>基于我局信息化和网络安全现状，提供2021年度</w:t>
      </w:r>
      <w:r>
        <w:rPr>
          <w:rFonts w:hint="eastAsia"/>
          <w:color w:val="000000"/>
        </w:rPr>
        <w:t>信息化运维和网络安全驻点服务</w:t>
      </w:r>
      <w:r>
        <w:rPr>
          <w:rFonts w:hint="eastAsia" w:ascii="宋体" w:hAnsi="宋体"/>
          <w:szCs w:val="21"/>
        </w:rPr>
        <w:t>工作。本项目主要包括以下工作内容：</w:t>
      </w:r>
    </w:p>
    <w:p>
      <w:pPr>
        <w:pStyle w:val="6"/>
        <w:numPr>
          <w:ilvl w:val="0"/>
          <w:numId w:val="3"/>
        </w:numPr>
        <w:spacing w:line="360" w:lineRule="auto"/>
        <w:ind w:firstLineChars="0"/>
        <w:rPr>
          <w:rFonts w:hint="eastAsia" w:ascii="宋体" w:hAnsi="宋体"/>
          <w:szCs w:val="21"/>
        </w:rPr>
      </w:pPr>
      <w:r>
        <w:rPr>
          <w:rFonts w:hint="eastAsia" w:ascii="宋体" w:hAnsi="宋体"/>
          <w:szCs w:val="21"/>
        </w:rPr>
        <w:t>终端及外设驻点运维服务</w:t>
      </w:r>
    </w:p>
    <w:p>
      <w:pPr>
        <w:pStyle w:val="6"/>
        <w:numPr>
          <w:ilvl w:val="0"/>
          <w:numId w:val="3"/>
        </w:numPr>
        <w:spacing w:line="360" w:lineRule="auto"/>
        <w:ind w:firstLineChars="0"/>
        <w:rPr>
          <w:rFonts w:hint="eastAsia" w:ascii="宋体" w:hAnsi="宋体"/>
          <w:szCs w:val="21"/>
        </w:rPr>
      </w:pPr>
      <w:r>
        <w:rPr>
          <w:rFonts w:hint="eastAsia" w:ascii="宋体" w:hAnsi="宋体"/>
          <w:szCs w:val="21"/>
        </w:rPr>
        <w:t>数据中心驻点运维服务</w:t>
      </w:r>
    </w:p>
    <w:p>
      <w:pPr>
        <w:pStyle w:val="6"/>
        <w:numPr>
          <w:ilvl w:val="0"/>
          <w:numId w:val="3"/>
        </w:numPr>
        <w:spacing w:line="360" w:lineRule="auto"/>
        <w:ind w:firstLineChars="0"/>
        <w:rPr>
          <w:rFonts w:hint="eastAsia" w:ascii="宋体" w:hAnsi="宋体"/>
          <w:szCs w:val="21"/>
        </w:rPr>
      </w:pPr>
      <w:r>
        <w:rPr>
          <w:rFonts w:hint="eastAsia" w:ascii="宋体" w:hAnsi="宋体"/>
          <w:szCs w:val="21"/>
        </w:rPr>
        <w:t>信息安全风险评估服务</w:t>
      </w:r>
    </w:p>
    <w:p>
      <w:pPr>
        <w:pStyle w:val="6"/>
        <w:numPr>
          <w:ilvl w:val="0"/>
          <w:numId w:val="3"/>
        </w:numPr>
        <w:spacing w:line="360" w:lineRule="auto"/>
        <w:ind w:firstLineChars="0"/>
        <w:rPr>
          <w:rFonts w:hint="eastAsia" w:ascii="宋体" w:hAnsi="宋体"/>
          <w:szCs w:val="21"/>
        </w:rPr>
      </w:pPr>
      <w:r>
        <w:rPr>
          <w:rFonts w:hint="eastAsia" w:ascii="宋体" w:hAnsi="宋体"/>
          <w:szCs w:val="21"/>
        </w:rPr>
        <w:t>等级保护咨询服务</w:t>
      </w:r>
    </w:p>
    <w:p>
      <w:pPr>
        <w:pStyle w:val="6"/>
        <w:numPr>
          <w:ilvl w:val="0"/>
          <w:numId w:val="3"/>
        </w:numPr>
        <w:spacing w:line="360" w:lineRule="auto"/>
        <w:ind w:firstLineChars="0"/>
        <w:rPr>
          <w:rFonts w:hint="eastAsia" w:ascii="宋体" w:hAnsi="宋体"/>
          <w:szCs w:val="21"/>
        </w:rPr>
      </w:pPr>
      <w:r>
        <w:rPr>
          <w:rFonts w:hint="eastAsia" w:ascii="宋体" w:hAnsi="宋体"/>
          <w:szCs w:val="21"/>
        </w:rPr>
        <w:t>计算机终端漏洞扫描检测服务</w:t>
      </w:r>
    </w:p>
    <w:p>
      <w:pPr>
        <w:pStyle w:val="6"/>
        <w:numPr>
          <w:ilvl w:val="0"/>
          <w:numId w:val="3"/>
        </w:numPr>
        <w:spacing w:line="360" w:lineRule="auto"/>
        <w:ind w:firstLineChars="0"/>
        <w:rPr>
          <w:rFonts w:hint="eastAsia" w:ascii="宋体" w:hAnsi="宋体"/>
          <w:szCs w:val="21"/>
        </w:rPr>
      </w:pPr>
      <w:r>
        <w:rPr>
          <w:rFonts w:hint="eastAsia" w:ascii="宋体" w:hAnsi="宋体"/>
          <w:szCs w:val="21"/>
        </w:rPr>
        <w:t>服务器漏洞扫描检测服务</w:t>
      </w:r>
    </w:p>
    <w:p>
      <w:pPr>
        <w:pStyle w:val="6"/>
        <w:numPr>
          <w:ilvl w:val="0"/>
          <w:numId w:val="3"/>
        </w:numPr>
        <w:spacing w:line="360" w:lineRule="auto"/>
        <w:ind w:firstLineChars="0"/>
        <w:rPr>
          <w:rFonts w:hint="eastAsia" w:ascii="宋体" w:hAnsi="宋体"/>
          <w:szCs w:val="21"/>
        </w:rPr>
      </w:pPr>
      <w:r>
        <w:rPr>
          <w:rFonts w:hint="eastAsia" w:ascii="宋体" w:hAnsi="宋体"/>
          <w:szCs w:val="21"/>
        </w:rPr>
        <w:t>安全事件应急响应服务</w:t>
      </w:r>
    </w:p>
    <w:p>
      <w:pPr>
        <w:pStyle w:val="6"/>
        <w:numPr>
          <w:ilvl w:val="0"/>
          <w:numId w:val="3"/>
        </w:numPr>
        <w:spacing w:line="360" w:lineRule="auto"/>
        <w:ind w:firstLineChars="0"/>
        <w:rPr>
          <w:rFonts w:hint="eastAsia" w:ascii="宋体" w:hAnsi="宋体"/>
          <w:szCs w:val="21"/>
        </w:rPr>
      </w:pPr>
      <w:r>
        <w:rPr>
          <w:rFonts w:hint="eastAsia" w:ascii="宋体" w:hAnsi="宋体"/>
          <w:szCs w:val="21"/>
        </w:rPr>
        <w:t>信息安全意识培训服务</w:t>
      </w:r>
    </w:p>
    <w:p>
      <w:pPr>
        <w:spacing w:line="360" w:lineRule="auto"/>
        <w:rPr>
          <w:rFonts w:hint="eastAsia" w:ascii="宋体" w:hAnsi="宋体"/>
          <w:szCs w:val="21"/>
        </w:rPr>
      </w:pPr>
      <w:r>
        <w:rPr>
          <w:rFonts w:hint="eastAsia" w:ascii="宋体" w:hAnsi="宋体"/>
          <w:szCs w:val="21"/>
        </w:rPr>
        <w:t>9、信息系统上线前安全检测服务</w:t>
      </w:r>
    </w:p>
    <w:p>
      <w:pPr>
        <w:spacing w:line="360" w:lineRule="auto"/>
        <w:rPr>
          <w:rFonts w:hint="eastAsia" w:ascii="宋体" w:hAnsi="宋体"/>
          <w:szCs w:val="21"/>
        </w:rPr>
      </w:pPr>
      <w:r>
        <w:rPr>
          <w:rFonts w:hint="eastAsia" w:ascii="宋体" w:hAnsi="宋体"/>
          <w:szCs w:val="21"/>
        </w:rPr>
        <w:t>10、联合检查自查及咨询服务</w:t>
      </w:r>
    </w:p>
    <w:p>
      <w:pPr>
        <w:rPr>
          <w:rFonts w:hint="eastAsia" w:ascii="Times New Roman" w:hAnsi="Times New Roman"/>
        </w:rPr>
      </w:pPr>
      <w:r>
        <w:rPr>
          <w:rFonts w:hint="eastAsia" w:ascii="Times New Roman" w:hAnsi="Times New Roman"/>
        </w:rPr>
        <w:t>具体工作内容如下：</w:t>
      </w:r>
    </w:p>
    <w:tbl>
      <w:tblPr>
        <w:tblStyle w:val="2"/>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42"/>
        <w:gridCol w:w="140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22"/>
              <w:jc w:val="center"/>
              <w:rPr>
                <w:rFonts w:ascii="宋体" w:hAnsi="宋体" w:cs="宋体"/>
                <w:b/>
                <w:bCs/>
                <w:szCs w:val="21"/>
              </w:rPr>
            </w:pPr>
            <w:r>
              <w:rPr>
                <w:rFonts w:hint="eastAsia" w:ascii="宋体" w:hAnsi="宋体" w:eastAsia="Times New Roman" w:cs="宋体"/>
                <w:b/>
                <w:bCs/>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22"/>
              <w:jc w:val="center"/>
              <w:rPr>
                <w:rFonts w:ascii="宋体" w:hAnsi="宋体" w:cs="宋体"/>
                <w:b/>
                <w:bCs/>
                <w:szCs w:val="21"/>
              </w:rPr>
            </w:pPr>
            <w:r>
              <w:rPr>
                <w:rFonts w:hint="eastAsia" w:ascii="宋体" w:hAnsi="宋体" w:eastAsia="Times New Roman" w:cs="宋体"/>
                <w:b/>
                <w:bCs/>
                <w:szCs w:val="21"/>
              </w:rPr>
              <w:t>服务项</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22"/>
              <w:jc w:val="center"/>
              <w:rPr>
                <w:rFonts w:ascii="宋体" w:hAnsi="宋体" w:cs="宋体"/>
                <w:b/>
                <w:bCs/>
                <w:szCs w:val="21"/>
              </w:rPr>
            </w:pPr>
            <w:r>
              <w:rPr>
                <w:rFonts w:hint="eastAsia" w:ascii="宋体" w:hAnsi="宋体" w:eastAsia="Times New Roman" w:cs="宋体"/>
                <w:b/>
                <w:bCs/>
                <w:szCs w:val="21"/>
              </w:rPr>
              <w:t>服务范围</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422"/>
              <w:jc w:val="center"/>
              <w:rPr>
                <w:rFonts w:ascii="宋体" w:hAnsi="宋体" w:cs="宋体"/>
                <w:b/>
                <w:bCs/>
                <w:szCs w:val="21"/>
              </w:rPr>
            </w:pPr>
            <w:r>
              <w:rPr>
                <w:rFonts w:hint="eastAsia" w:ascii="宋体" w:hAnsi="宋体" w:eastAsia="Times New Roman" w:cs="宋体"/>
                <w:b/>
                <w:bCs/>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eastAsia="Times New Roman"/>
                <w:szCs w:val="21"/>
              </w:rPr>
              <w:t>终端及外设驻点运维服务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cs="宋体"/>
              </w:rPr>
              <w:t>单位所有终端及外设</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rPr>
            </w:pPr>
            <w:r>
              <w:rPr>
                <w:rFonts w:hint="eastAsia" w:ascii="宋体" w:hAnsi="宋体" w:cs="宋体"/>
                <w:highlight w:val="yellow"/>
              </w:rPr>
              <w:t>提供</w:t>
            </w:r>
            <w:r>
              <w:rPr>
                <w:rFonts w:ascii="Times New Roman" w:hAnsi="Times New Roman" w:eastAsia="Times New Roman"/>
                <w:highlight w:val="yellow"/>
              </w:rPr>
              <w:t>1</w:t>
            </w:r>
            <w:r>
              <w:rPr>
                <w:rFonts w:hint="eastAsia" w:ascii="宋体" w:hAnsi="宋体" w:cs="宋体"/>
                <w:highlight w:val="yellow"/>
              </w:rPr>
              <w:t>名人员</w:t>
            </w:r>
            <w:r>
              <w:rPr>
                <w:rFonts w:hint="eastAsia" w:ascii="宋体" w:hAnsi="宋体" w:cs="宋体"/>
              </w:rPr>
              <w:t>以</w:t>
            </w:r>
            <w:r>
              <w:rPr>
                <w:rFonts w:ascii="Times New Roman" w:hAnsi="Times New Roman" w:eastAsia="Times New Roman"/>
              </w:rPr>
              <w:t>5*8</w:t>
            </w:r>
            <w:r>
              <w:rPr>
                <w:rFonts w:hint="eastAsia" w:ascii="宋体" w:hAnsi="宋体" w:cs="宋体"/>
              </w:rPr>
              <w:t>现场驻点的形式开展运维服务，对单位所有终端、外设提供故障排查、故障处理，并提交服务报告。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eastAsia="Times New Roman"/>
                <w:szCs w:val="21"/>
              </w:rPr>
              <w:t>数据中心驻点运维服务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eastAsia="Times New Roman"/>
                <w:szCs w:val="21"/>
              </w:rPr>
              <w:t>数据中心服务器、存储、网络安全设备、业务和应用系统</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rPr>
            </w:pPr>
            <w:r>
              <w:rPr>
                <w:rFonts w:hint="eastAsia" w:ascii="宋体" w:hAnsi="宋体" w:cs="宋体"/>
                <w:color w:val="FF0000"/>
                <w:highlight w:val="yellow"/>
              </w:rPr>
              <w:t>提供</w:t>
            </w:r>
            <w:r>
              <w:rPr>
                <w:rFonts w:ascii="Times New Roman" w:hAnsi="Times New Roman" w:eastAsia="Times New Roman"/>
                <w:color w:val="FF0000"/>
                <w:highlight w:val="yellow"/>
              </w:rPr>
              <w:t>2</w:t>
            </w:r>
            <w:r>
              <w:rPr>
                <w:rFonts w:hint="eastAsia" w:ascii="宋体" w:hAnsi="宋体" w:cs="宋体"/>
                <w:color w:val="FF0000"/>
                <w:highlight w:val="yellow"/>
              </w:rPr>
              <w:t>名人员</w:t>
            </w:r>
            <w:r>
              <w:rPr>
                <w:rFonts w:ascii="Times New Roman" w:hAnsi="Times New Roman" w:eastAsia="Times New Roman"/>
              </w:rPr>
              <w:t>5*8</w:t>
            </w:r>
            <w:r>
              <w:rPr>
                <w:rFonts w:hint="eastAsia" w:ascii="宋体" w:hAnsi="宋体" w:cs="宋体"/>
              </w:rPr>
              <w:t>现场驻点的形式开展运维服务，对单位</w:t>
            </w:r>
            <w:r>
              <w:rPr>
                <w:rFonts w:hint="eastAsia" w:ascii="宋体" w:hAnsi="宋体" w:eastAsia="Times New Roman"/>
                <w:szCs w:val="21"/>
              </w:rPr>
              <w:t>数据中心服务器、存储、网络安全设备、业务和应用系统，</w:t>
            </w:r>
            <w:r>
              <w:rPr>
                <w:rFonts w:hint="eastAsia" w:ascii="宋体" w:hAnsi="宋体" w:cs="宋体"/>
              </w:rPr>
              <w:t>提供故障排查、故障处理，并提交服务报告。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r>
              <w:rPr>
                <w:rFonts w:hint="eastAsia" w:ascii="宋体" w:hAnsi="宋体" w:eastAsia="Times New Roman"/>
                <w:szCs w:val="21"/>
              </w:rPr>
              <w:t>信息安全风险评估服务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cs="宋体"/>
              </w:rPr>
              <w:t>关键业务系统</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rPr>
            </w:pPr>
            <w:r>
              <w:rPr>
                <w:rFonts w:hint="eastAsia" w:ascii="宋体" w:hAnsi="宋体" w:cs="宋体"/>
              </w:rPr>
              <w:t>参考信息安全风险评估国家标准和市信息安全主管部门相关要求，以信息资产为主线，分析信息系统可能面临的威胁，当前存在的弱点，以及弱点被威胁所利用的可能性及影响，以此为基础对当前信息系统的安全风险进行分析和定义，排查信息系统安全风险，形成完整的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eastAsia="Times New Roman"/>
                <w:szCs w:val="21"/>
              </w:rPr>
              <w:t>等级保护咨询服务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cs="宋体"/>
              </w:rPr>
              <w:t>关键业务系统</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color w:val="000000"/>
              </w:rPr>
            </w:pPr>
            <w:r>
              <w:rPr>
                <w:rFonts w:hint="eastAsia" w:ascii="宋体" w:hAnsi="宋体" w:cs="宋体"/>
                <w:color w:val="000000"/>
              </w:rPr>
              <w:t>提供网络安全等级保护相关技术指导，协助单位完善等级保护管理管理体系和技术防护体系，做好等保测评准备工作，并全程配合等级保护测评。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eastAsia="Times New Roman"/>
                <w:szCs w:val="21"/>
              </w:rPr>
              <w:t>计算机终端漏洞扫描检测服务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cs="宋体"/>
              </w:rPr>
              <w:t>单位使用的计算机终端</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color w:val="000000"/>
              </w:rPr>
            </w:pPr>
            <w:r>
              <w:rPr>
                <w:rFonts w:hint="eastAsia" w:ascii="宋体" w:hAnsi="宋体" w:cs="宋体"/>
                <w:color w:val="000000"/>
              </w:rPr>
              <w:t>每季度对单位办公使用的计算机终端开展主机层面安全技术检测工作，对检测情况进行汇总分析，提出针对性的安全整改措施和建议，协助落实中高危安全漏洞修复工作。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eastAsia="Times New Roman"/>
                <w:szCs w:val="21"/>
              </w:rPr>
              <w:t>服务器漏洞扫描检测服务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cs="宋体"/>
              </w:rPr>
              <w:t>单位使用的服务器、网络设备、安全设备</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color w:val="000000"/>
              </w:rPr>
            </w:pPr>
            <w:r>
              <w:rPr>
                <w:rFonts w:hint="eastAsia" w:ascii="宋体" w:hAnsi="宋体" w:cs="宋体"/>
                <w:color w:val="000000"/>
              </w:rPr>
              <w:t>每季度对单位使用的服务器、网络设备、安全设备等开展主机层面安全技术检测工作，对检测情况进行汇总分析，提出针对性的安全整改措施和建议，协助落实中高危安全漏洞修复工作。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eastAsia="Times New Roman"/>
                <w:szCs w:val="21"/>
              </w:rPr>
              <w:t>安全事件应急响应服务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color w:val="000000"/>
              </w:rPr>
            </w:pPr>
            <w:r>
              <w:rPr>
                <w:rFonts w:hint="eastAsia" w:ascii="宋体" w:hAnsi="宋体" w:cs="宋体"/>
                <w:color w:val="000000"/>
              </w:rPr>
              <w:t>提供</w:t>
            </w:r>
            <w:r>
              <w:rPr>
                <w:rFonts w:ascii="Times New Roman" w:hAnsi="Times New Roman" w:eastAsia="Times New Roman"/>
                <w:color w:val="000000"/>
              </w:rPr>
              <w:t>7x24</w:t>
            </w:r>
            <w:r>
              <w:rPr>
                <w:rFonts w:hint="eastAsia" w:ascii="宋体" w:hAnsi="宋体" w:cs="宋体"/>
                <w:color w:val="000000"/>
              </w:rPr>
              <w:t>小时服务响应热线，在服务期内提供紧急现场服务：用户单位网络、应用系统如果遇到重大信息安全事件</w:t>
            </w:r>
            <w:r>
              <w:rPr>
                <w:rFonts w:ascii="Times New Roman" w:hAnsi="Times New Roman" w:eastAsia="Times New Roman"/>
                <w:color w:val="000000"/>
              </w:rPr>
              <w:t>,</w:t>
            </w:r>
            <w:r>
              <w:rPr>
                <w:rFonts w:hint="eastAsia" w:ascii="宋体" w:hAnsi="宋体" w:cs="宋体"/>
                <w:color w:val="000000"/>
              </w:rPr>
              <w:t>乙方技术人员应在</w:t>
            </w:r>
            <w:r>
              <w:rPr>
                <w:rFonts w:ascii="Times New Roman" w:hAnsi="Times New Roman" w:eastAsia="Times New Roman"/>
                <w:color w:val="000000"/>
              </w:rPr>
              <w:t>2</w:t>
            </w:r>
            <w:r>
              <w:rPr>
                <w:rFonts w:hint="eastAsia" w:ascii="宋体" w:hAnsi="宋体" w:cs="宋体"/>
                <w:color w:val="000000"/>
              </w:rPr>
              <w:t>小时内到达甲方现场，</w:t>
            </w:r>
            <w:r>
              <w:rPr>
                <w:rFonts w:ascii="Times New Roman" w:hAnsi="Times New Roman" w:eastAsia="Times New Roman"/>
                <w:color w:val="000000"/>
              </w:rPr>
              <w:t>4</w:t>
            </w:r>
            <w:r>
              <w:rPr>
                <w:rFonts w:hint="eastAsia" w:ascii="宋体" w:hAnsi="宋体" w:cs="宋体"/>
                <w:color w:val="000000"/>
              </w:rPr>
              <w:t>小时内发现原因尽快解决，或在</w:t>
            </w:r>
            <w:r>
              <w:rPr>
                <w:rFonts w:ascii="Times New Roman" w:hAnsi="Times New Roman" w:eastAsia="Times New Roman"/>
                <w:color w:val="000000"/>
              </w:rPr>
              <w:t>4</w:t>
            </w:r>
            <w:r>
              <w:rPr>
                <w:rFonts w:hint="eastAsia" w:ascii="宋体" w:hAnsi="宋体" w:cs="宋体"/>
                <w:color w:val="000000"/>
              </w:rPr>
              <w:t>小时内提供临时解决方案并组织实施。工作结束后出具安全事件的详细分析报告及解决方案</w:t>
            </w:r>
            <w:r>
              <w:rPr>
                <w:rFonts w:ascii="Times New Roman" w:hAnsi="Times New Roman" w:eastAsia="Times New Roman"/>
                <w:color w:val="000000"/>
              </w:rPr>
              <w:t>,</w:t>
            </w:r>
            <w:r>
              <w:rPr>
                <w:rFonts w:hint="eastAsia" w:ascii="宋体" w:hAnsi="宋体" w:cs="宋体"/>
                <w:color w:val="000000"/>
              </w:rPr>
              <w:t>并提供</w:t>
            </w:r>
            <w:r>
              <w:rPr>
                <w:rFonts w:ascii="Times New Roman" w:hAnsi="Times New Roman" w:eastAsia="Times New Roman"/>
                <w:color w:val="000000"/>
              </w:rPr>
              <w:t>7x24</w:t>
            </w:r>
            <w:r>
              <w:rPr>
                <w:rFonts w:hint="eastAsia" w:ascii="宋体" w:hAnsi="宋体" w:cs="宋体"/>
                <w:color w:val="000000"/>
              </w:rPr>
              <w:t>小时电话咨询服务。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r>
              <w:rPr>
                <w:rFonts w:hint="eastAsia" w:ascii="宋体" w:hAnsi="宋体" w:eastAsia="Times New Roman"/>
                <w:szCs w:val="21"/>
              </w:rPr>
              <w:t>信息安全意识培训服务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cs="宋体"/>
              </w:rPr>
              <w:t>全体人员</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color w:val="000000"/>
              </w:rPr>
            </w:pPr>
            <w:r>
              <w:rPr>
                <w:rFonts w:hint="eastAsia" w:ascii="宋体" w:hAnsi="宋体" w:cs="宋体"/>
                <w:color w:val="000000"/>
              </w:rPr>
              <w:t>聘请网络信息安全资深专家，为单位提供信息安全全员意识教育培训服务，提高单位工作人员信息安全意识，提升整体安全防护水平。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r>
              <w:rPr>
                <w:rFonts w:hint="eastAsia" w:ascii="宋体" w:hAnsi="宋体" w:eastAsia="Times New Roman"/>
                <w:szCs w:val="21"/>
              </w:rPr>
              <w:t>信息系统上线前安全检测服务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hint="eastAsia" w:ascii="宋体" w:hAnsi="宋体" w:cs="宋体"/>
              </w:rPr>
              <w:t>新上线系统</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ascii="Times New Roman" w:hAnsi="Times New Roman"/>
                <w:color w:val="000000"/>
              </w:rPr>
            </w:pPr>
            <w:r>
              <w:rPr>
                <w:rFonts w:hint="eastAsia" w:ascii="宋体" w:hAnsi="宋体" w:cs="宋体"/>
                <w:color w:val="000000"/>
              </w:rPr>
              <w:t>利用漏洞扫描、渗透测试两种方式针对即将上线的信息系统开展安全检测工作，及时发现和整改系统可能存在的安全漏洞，并在检测完成后输出《系统上线检测报告》。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10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r>
              <w:rPr>
                <w:rFonts w:hint="eastAsia" w:ascii="宋体" w:hAnsi="宋体" w:eastAsia="Times New Roman"/>
                <w:szCs w:val="21"/>
              </w:rPr>
              <w:t>联合检查自查及咨询服务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rPr>
            </w:pPr>
            <w:r>
              <w:rPr>
                <w:rFonts w:ascii="Times New Roman" w:hAnsi="Times New Roman" w:eastAsia="Times New Roman"/>
              </w:rPr>
              <w:t>/</w:t>
            </w:r>
          </w:p>
        </w:tc>
        <w:tc>
          <w:tcPr>
            <w:tcW w:w="55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Times New Roman" w:hAnsi="Times New Roman"/>
                <w:color w:val="000000"/>
              </w:rPr>
            </w:pPr>
            <w:r>
              <w:rPr>
                <w:rFonts w:hint="eastAsia" w:ascii="宋体" w:hAnsi="宋体" w:cs="宋体"/>
                <w:color w:val="000000"/>
              </w:rPr>
              <w:t>按照上级主管部门信息安全联合检查、绩效考核相关工作要求，开展年度信息安全自查，根据自查结果进行整改，提交信息安全联合检查相关资料，并协助做好现场迎检工作。</w:t>
            </w:r>
          </w:p>
        </w:tc>
      </w:tr>
    </w:tbl>
    <w:p>
      <w:pPr>
        <w:pStyle w:val="5"/>
        <w:ind w:firstLine="440"/>
        <w:rPr>
          <w:kern w:val="2"/>
        </w:rPr>
      </w:pPr>
    </w:p>
    <w:p>
      <w:pPr>
        <w:pStyle w:val="6"/>
        <w:numPr>
          <w:ilvl w:val="0"/>
          <w:numId w:val="2"/>
        </w:numPr>
        <w:autoSpaceDE w:val="0"/>
        <w:autoSpaceDN w:val="0"/>
        <w:adjustRightInd w:val="0"/>
        <w:snapToGrid w:val="0"/>
        <w:spacing w:before="624" w:beforeLines="200" w:after="200" w:line="360" w:lineRule="auto"/>
        <w:ind w:left="748" w:hanging="748" w:firstLineChars="0"/>
        <w:rPr>
          <w:rFonts w:hint="eastAsia" w:ascii="宋体" w:hAnsi="宋体"/>
          <w:b/>
          <w:bCs/>
          <w:spacing w:val="-4"/>
          <w:sz w:val="24"/>
          <w:szCs w:val="21"/>
        </w:rPr>
      </w:pPr>
      <w:r>
        <w:rPr>
          <w:rFonts w:hint="eastAsia" w:ascii="宋体" w:hAnsi="宋体"/>
          <w:b/>
          <w:bCs/>
          <w:spacing w:val="-4"/>
          <w:sz w:val="24"/>
          <w:szCs w:val="21"/>
        </w:rPr>
        <w:t>评标表</w:t>
      </w:r>
    </w:p>
    <w:p>
      <w:pPr>
        <w:spacing w:line="360" w:lineRule="auto"/>
        <w:ind w:firstLine="420" w:firstLineChars="200"/>
        <w:rPr>
          <w:rFonts w:hint="eastAsia" w:ascii="宋体" w:hAnsi="宋体"/>
          <w:szCs w:val="21"/>
        </w:rPr>
      </w:pPr>
      <w:r>
        <w:rPr>
          <w:rFonts w:hint="eastAsia" w:ascii="宋体" w:hAnsi="宋体"/>
          <w:szCs w:val="21"/>
        </w:rPr>
        <w:t>本次评标采用综合评分法，即指在最大限度地满足招标文件实质性要求的前提下，按照招标文件中规定的各项因素进行综合评审后，以评标总得分最高的投标人作为中标候选供应商或中标供应商的评标方法。</w:t>
      </w:r>
    </w:p>
    <w:p>
      <w:pPr>
        <w:spacing w:line="360" w:lineRule="auto"/>
        <w:ind w:firstLine="420" w:firstLineChars="200"/>
        <w:rPr>
          <w:rFonts w:hint="eastAsia" w:ascii="宋体" w:hAnsi="宋体"/>
          <w:szCs w:val="21"/>
        </w:rPr>
      </w:pPr>
      <w:r>
        <w:rPr>
          <w:rFonts w:hint="eastAsia" w:ascii="宋体" w:hAnsi="宋体"/>
          <w:szCs w:val="21"/>
        </w:rPr>
        <w:t>如出现同一包两位投标人并列第一时，技术部分得分高者优先，若技术部分得分也相同时，则价格得分高者优先。</w:t>
      </w:r>
    </w:p>
    <w:tbl>
      <w:tblPr>
        <w:tblStyle w:val="2"/>
        <w:tblW w:w="5379" w:type="pct"/>
        <w:jc w:val="center"/>
        <w:tblLayout w:type="autofit"/>
        <w:tblCellMar>
          <w:top w:w="0" w:type="dxa"/>
          <w:left w:w="108" w:type="dxa"/>
          <w:bottom w:w="0" w:type="dxa"/>
          <w:right w:w="108" w:type="dxa"/>
        </w:tblCellMar>
      </w:tblPr>
      <w:tblGrid>
        <w:gridCol w:w="688"/>
        <w:gridCol w:w="17"/>
        <w:gridCol w:w="1445"/>
        <w:gridCol w:w="36"/>
        <w:gridCol w:w="6439"/>
        <w:gridCol w:w="769"/>
        <w:gridCol w:w="32"/>
        <w:gridCol w:w="1291"/>
      </w:tblGrid>
      <w:tr>
        <w:tblPrEx>
          <w:tblCellMar>
            <w:top w:w="0" w:type="dxa"/>
            <w:left w:w="108" w:type="dxa"/>
            <w:bottom w:w="0" w:type="dxa"/>
            <w:right w:w="108" w:type="dxa"/>
          </w:tblCellMar>
        </w:tblPrEx>
        <w:trPr>
          <w:trHeight w:val="420" w:hRule="atLeast"/>
          <w:jc w:val="center"/>
        </w:trPr>
        <w:tc>
          <w:tcPr>
            <w:tcW w:w="5000" w:type="pct"/>
            <w:gridSpan w:val="8"/>
            <w:tcBorders>
              <w:top w:val="single" w:color="000000" w:sz="8" w:space="0"/>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评 标 信 息</w:t>
            </w:r>
          </w:p>
        </w:tc>
      </w:tr>
      <w:tr>
        <w:tblPrEx>
          <w:tblCellMar>
            <w:top w:w="0" w:type="dxa"/>
            <w:left w:w="108" w:type="dxa"/>
            <w:bottom w:w="0" w:type="dxa"/>
            <w:right w:w="108" w:type="dxa"/>
          </w:tblCellMar>
        </w:tblPrEx>
        <w:trPr>
          <w:trHeight w:val="300"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674"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评分因素</w:t>
            </w:r>
          </w:p>
        </w:tc>
        <w:tc>
          <w:tcPr>
            <w:tcW w:w="3021"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评分规则</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权重</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评分方式</w:t>
            </w:r>
          </w:p>
        </w:tc>
      </w:tr>
      <w:tr>
        <w:tblPrEx>
          <w:tblCellMar>
            <w:top w:w="0" w:type="dxa"/>
            <w:left w:w="108" w:type="dxa"/>
            <w:bottom w:w="0" w:type="dxa"/>
            <w:right w:w="108" w:type="dxa"/>
          </w:tblCellMar>
        </w:tblPrEx>
        <w:trPr>
          <w:trHeight w:val="390"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3695" w:type="pct"/>
            <w:gridSpan w:val="3"/>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20</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w:t>
            </w:r>
          </w:p>
        </w:tc>
      </w:tr>
      <w:tr>
        <w:tblPrEx>
          <w:tblCellMar>
            <w:top w:w="0" w:type="dxa"/>
            <w:left w:w="108" w:type="dxa"/>
            <w:bottom w:w="0" w:type="dxa"/>
            <w:right w:w="108" w:type="dxa"/>
          </w:tblCellMar>
        </w:tblPrEx>
        <w:trPr>
          <w:trHeight w:val="390"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b/>
                <w:bCs/>
                <w:color w:val="000000"/>
                <w:kern w:val="0"/>
                <w:szCs w:val="21"/>
              </w:rPr>
            </w:pPr>
            <w:r>
              <w:rPr>
                <w:rFonts w:hint="eastAsia" w:ascii="宋体" w:hAnsi="宋体" w:cs="宋体"/>
                <w:color w:val="000000"/>
                <w:kern w:val="0"/>
                <w:szCs w:val="21"/>
              </w:rPr>
              <w:t>1.1</w:t>
            </w:r>
          </w:p>
        </w:tc>
        <w:tc>
          <w:tcPr>
            <w:tcW w:w="674" w:type="pct"/>
            <w:tcBorders>
              <w:top w:val="single" w:color="000000" w:sz="8" w:space="0"/>
              <w:left w:val="nil"/>
              <w:bottom w:val="single" w:color="000000" w:sz="8" w:space="0"/>
              <w:right w:val="single" w:color="auto" w:sz="4" w:space="0"/>
            </w:tcBorders>
            <w:noWrap w:val="0"/>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价格</w:t>
            </w:r>
          </w:p>
        </w:tc>
        <w:tc>
          <w:tcPr>
            <w:tcW w:w="3021" w:type="pct"/>
            <w:gridSpan w:val="2"/>
            <w:tcBorders>
              <w:top w:val="single" w:color="000000" w:sz="8" w:space="0"/>
              <w:left w:val="single" w:color="auto" w:sz="4" w:space="0"/>
              <w:bottom w:val="single" w:color="000000" w:sz="8" w:space="0"/>
              <w:right w:val="single" w:color="000000" w:sz="8" w:space="0"/>
            </w:tcBorders>
            <w:noWrap w:val="0"/>
            <w:vAlign w:val="center"/>
          </w:tcPr>
          <w:p>
            <w:pPr>
              <w:spacing w:after="60"/>
              <w:rPr>
                <w:rFonts w:ascii="宋体" w:hAnsi="宋体"/>
                <w:color w:val="000000"/>
                <w:szCs w:val="21"/>
              </w:rPr>
            </w:pPr>
            <w:r>
              <w:rPr>
                <w:rFonts w:hint="eastAsia" w:ascii="宋体" w:hAnsi="宋体"/>
                <w:color w:val="000000"/>
                <w:szCs w:val="21"/>
              </w:rPr>
              <w:t>价格分按以下方案计算：</w:t>
            </w:r>
          </w:p>
          <w:p>
            <w:pPr>
              <w:tabs>
                <w:tab w:val="left" w:pos="1800"/>
                <w:tab w:val="left" w:pos="3780"/>
              </w:tabs>
              <w:spacing w:after="60"/>
              <w:rPr>
                <w:rFonts w:hint="eastAsia" w:ascii="宋体" w:hAnsi="宋体"/>
                <w:color w:val="000000"/>
                <w:szCs w:val="21"/>
              </w:rPr>
            </w:pPr>
            <w:r>
              <w:rPr>
                <w:rFonts w:hint="eastAsia" w:ascii="宋体" w:hAnsi="宋体"/>
                <w:color w:val="000000"/>
                <w:szCs w:val="21"/>
              </w:rPr>
              <w:t>投标报价得分 = Z/Sn×20</w:t>
            </w:r>
          </w:p>
          <w:p>
            <w:pPr>
              <w:tabs>
                <w:tab w:val="left" w:pos="1800"/>
                <w:tab w:val="left" w:pos="3780"/>
              </w:tabs>
              <w:spacing w:after="60"/>
              <w:rPr>
                <w:rFonts w:hint="eastAsia" w:ascii="宋体" w:hAnsi="宋体"/>
                <w:color w:val="000000"/>
                <w:szCs w:val="21"/>
              </w:rPr>
            </w:pPr>
            <w:r>
              <w:rPr>
                <w:rFonts w:hint="eastAsia" w:ascii="宋体" w:hAnsi="宋体"/>
                <w:color w:val="000000"/>
                <w:szCs w:val="21"/>
              </w:rPr>
              <w:t>其中：Z --评标基准价，即通过资格性审查和符合性审查且投标价格最低的投标报价。</w:t>
            </w:r>
          </w:p>
          <w:p>
            <w:pPr>
              <w:tabs>
                <w:tab w:val="left" w:pos="1800"/>
                <w:tab w:val="left" w:pos="3780"/>
              </w:tabs>
              <w:spacing w:after="60"/>
              <w:rPr>
                <w:rFonts w:ascii="宋体" w:hAnsi="宋体"/>
                <w:color w:val="000000"/>
                <w:szCs w:val="21"/>
              </w:rPr>
            </w:pPr>
            <w:r>
              <w:rPr>
                <w:rFonts w:hint="eastAsia" w:ascii="宋体" w:hAnsi="宋体"/>
                <w:color w:val="000000"/>
                <w:szCs w:val="21"/>
              </w:rPr>
              <w:t>Sn ---投标报价，即通过资格性审查和符合性审查的投标报价。</w:t>
            </w:r>
          </w:p>
        </w:tc>
        <w:tc>
          <w:tcPr>
            <w:tcW w:w="374" w:type="pct"/>
            <w:gridSpan w:val="2"/>
            <w:tcBorders>
              <w:top w:val="nil"/>
              <w:left w:val="nil"/>
              <w:bottom w:val="single" w:color="000000" w:sz="8" w:space="0"/>
              <w:right w:val="single" w:color="000000" w:sz="8" w:space="0"/>
            </w:tcBorders>
            <w:noWrap w:val="0"/>
            <w:vAlign w:val="center"/>
          </w:tcPr>
          <w:p>
            <w:pPr>
              <w:widowControl/>
              <w:jc w:val="center"/>
              <w:rPr>
                <w:rFonts w:ascii="宋体" w:hAnsi="宋体" w:cs="宋体"/>
                <w:b/>
                <w:bCs/>
                <w:color w:val="000000"/>
                <w:kern w:val="0"/>
                <w:szCs w:val="21"/>
              </w:rPr>
            </w:pPr>
            <w:r>
              <w:rPr>
                <w:rFonts w:hint="eastAsia" w:ascii="宋体" w:hAnsi="宋体" w:cs="宋体"/>
                <w:color w:val="000000"/>
                <w:kern w:val="0"/>
                <w:szCs w:val="21"/>
              </w:rPr>
              <w:t>20</w:t>
            </w:r>
          </w:p>
        </w:tc>
        <w:tc>
          <w:tcPr>
            <w:tcW w:w="602" w:type="pct"/>
            <w:tcBorders>
              <w:top w:val="nil"/>
              <w:left w:val="nil"/>
              <w:bottom w:val="single" w:color="000000" w:sz="8" w:space="0"/>
              <w:right w:val="single" w:color="000000" w:sz="8" w:space="0"/>
            </w:tcBorders>
            <w:noWrap w:val="0"/>
            <w:vAlign w:val="center"/>
          </w:tcPr>
          <w:p>
            <w:pPr>
              <w:widowControl/>
              <w:jc w:val="center"/>
              <w:rPr>
                <w:rFonts w:ascii="宋体" w:hAnsi="宋体" w:cs="宋体"/>
                <w:b/>
                <w:bCs/>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390"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3695" w:type="pct"/>
            <w:gridSpan w:val="3"/>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技术部分</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60</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b/>
                <w:bCs/>
                <w:color w:val="000000"/>
                <w:kern w:val="0"/>
                <w:szCs w:val="21"/>
              </w:rPr>
            </w:pPr>
            <w:r>
              <w:rPr>
                <w:rFonts w:hint="eastAsia" w:ascii="宋体" w:hAnsi="宋体" w:cs="宋体"/>
                <w:b/>
                <w:bCs/>
                <w:color w:val="000000"/>
                <w:kern w:val="0"/>
                <w:szCs w:val="21"/>
              </w:rPr>
              <w:t>-</w:t>
            </w:r>
          </w:p>
        </w:tc>
      </w:tr>
      <w:tr>
        <w:tblPrEx>
          <w:tblCellMar>
            <w:top w:w="0" w:type="dxa"/>
            <w:left w:w="108" w:type="dxa"/>
            <w:bottom w:w="0" w:type="dxa"/>
            <w:right w:w="108" w:type="dxa"/>
          </w:tblCellMar>
        </w:tblPrEx>
        <w:trPr>
          <w:trHeight w:val="738"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2.1</w:t>
            </w:r>
          </w:p>
        </w:tc>
        <w:tc>
          <w:tcPr>
            <w:tcW w:w="674" w:type="pct"/>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安全服务内容响应情况</w:t>
            </w:r>
          </w:p>
        </w:tc>
        <w:tc>
          <w:tcPr>
            <w:tcW w:w="3021" w:type="pct"/>
            <w:gridSpan w:val="2"/>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bookmarkStart w:id="0" w:name="OLE_LINK1"/>
            <w:r>
              <w:rPr>
                <w:rFonts w:hint="eastAsia" w:ascii="宋体" w:hAnsi="宋体" w:cs="宋体"/>
                <w:color w:val="000000"/>
                <w:kern w:val="0"/>
                <w:szCs w:val="21"/>
              </w:rPr>
              <w:t>根据服务内容的要求进行点对点响应，全部满足得100%分数，服务内容中如果存在无法满足的要求项，则1个要求项扣除10%的</w:t>
            </w:r>
            <w:bookmarkStart w:id="1" w:name="_GoBack"/>
            <w:bookmarkEnd w:id="1"/>
            <w:r>
              <w:rPr>
                <w:rFonts w:hint="eastAsia" w:ascii="宋体" w:hAnsi="宋体" w:cs="宋体"/>
                <w:color w:val="000000"/>
                <w:kern w:val="0"/>
                <w:szCs w:val="21"/>
              </w:rPr>
              <w:t>分数，扣完为止。</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注：</w:t>
            </w:r>
          </w:p>
          <w:p>
            <w:pPr>
              <w:widowControl/>
              <w:spacing w:after="60"/>
              <w:jc w:val="left"/>
              <w:rPr>
                <w:rFonts w:ascii="宋体" w:hAnsi="宋体" w:cs="宋体"/>
                <w:color w:val="000000"/>
                <w:kern w:val="0"/>
                <w:szCs w:val="21"/>
              </w:rPr>
            </w:pPr>
            <w:r>
              <w:rPr>
                <w:rFonts w:hint="eastAsia" w:ascii="宋体" w:hAnsi="宋体" w:cs="宋体"/>
                <w:color w:val="000000"/>
                <w:kern w:val="0"/>
                <w:szCs w:val="21"/>
              </w:rPr>
              <w:t>需如实应答，提供点对点应答材料，响应每一项服务要求，不提供不得分。</w:t>
            </w:r>
            <w:bookmarkEnd w:id="0"/>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10</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1200"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2.2</w:t>
            </w:r>
          </w:p>
        </w:tc>
        <w:tc>
          <w:tcPr>
            <w:tcW w:w="674" w:type="pct"/>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方案可行性</w:t>
            </w:r>
          </w:p>
        </w:tc>
        <w:tc>
          <w:tcPr>
            <w:tcW w:w="3021" w:type="pct"/>
            <w:gridSpan w:val="2"/>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专家根据投标人提交的标书中总体方案的可行性、成熟性、正确性，总体方案是否符合用户需求,设计思路、应用部署层次，服务范围，是否清楚合理进行横向比较，按优得81-100%分数，良得61-80%分数，中得31-60%分数，差得0%分数。</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10</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1200"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2.3</w:t>
            </w:r>
          </w:p>
        </w:tc>
        <w:tc>
          <w:tcPr>
            <w:tcW w:w="674" w:type="pct"/>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投标人资质</w:t>
            </w:r>
          </w:p>
        </w:tc>
        <w:tc>
          <w:tcPr>
            <w:tcW w:w="3021" w:type="pct"/>
            <w:gridSpan w:val="2"/>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要求服务提供方具备较强的安全服务能力，且得到了国家主管部门的认可并具备如下证书：</w:t>
            </w:r>
          </w:p>
          <w:p>
            <w:pPr>
              <w:pStyle w:val="6"/>
              <w:widowControl/>
              <w:numPr>
                <w:ilvl w:val="0"/>
                <w:numId w:val="4"/>
              </w:numPr>
              <w:spacing w:after="60"/>
              <w:ind w:firstLineChars="0"/>
              <w:jc w:val="left"/>
              <w:rPr>
                <w:rFonts w:hint="eastAsia" w:ascii="宋体" w:hAnsi="宋体" w:cs="宋体"/>
                <w:color w:val="000000"/>
                <w:kern w:val="0"/>
                <w:szCs w:val="21"/>
              </w:rPr>
            </w:pPr>
            <w:r>
              <w:rPr>
                <w:rFonts w:hint="eastAsia" w:ascii="宋体" w:hAnsi="宋体"/>
                <w:color w:val="000000"/>
                <w:szCs w:val="21"/>
              </w:rPr>
              <w:t>投标人具有质量管理体系认证（ISO9001）证书；（20%分）</w:t>
            </w:r>
          </w:p>
          <w:p>
            <w:pPr>
              <w:pStyle w:val="6"/>
              <w:widowControl/>
              <w:numPr>
                <w:ilvl w:val="0"/>
                <w:numId w:val="4"/>
              </w:numPr>
              <w:spacing w:after="60"/>
              <w:ind w:firstLineChars="0"/>
              <w:jc w:val="left"/>
              <w:rPr>
                <w:rFonts w:hint="eastAsia" w:ascii="宋体" w:hAnsi="宋体" w:cs="宋体"/>
                <w:color w:val="000000"/>
                <w:kern w:val="0"/>
                <w:szCs w:val="21"/>
              </w:rPr>
            </w:pPr>
            <w:r>
              <w:rPr>
                <w:rFonts w:hint="eastAsia" w:ascii="宋体" w:hAnsi="宋体"/>
                <w:color w:val="000000"/>
                <w:szCs w:val="21"/>
              </w:rPr>
              <w:t>具备有中国网络安全审查技术与认证中心颁发的“信息系统安全运维服务资质证书（即CCRC）” 三级及以上；（20%分）</w:t>
            </w:r>
          </w:p>
          <w:p>
            <w:pPr>
              <w:pStyle w:val="6"/>
              <w:widowControl/>
              <w:numPr>
                <w:ilvl w:val="0"/>
                <w:numId w:val="4"/>
              </w:numPr>
              <w:spacing w:after="60"/>
              <w:ind w:firstLineChars="0"/>
              <w:jc w:val="left"/>
              <w:rPr>
                <w:rFonts w:hint="eastAsia" w:ascii="宋体" w:hAnsi="宋体" w:cs="宋体"/>
                <w:color w:val="000000"/>
                <w:kern w:val="0"/>
                <w:szCs w:val="21"/>
              </w:rPr>
            </w:pPr>
            <w:r>
              <w:rPr>
                <w:rFonts w:hint="eastAsia" w:ascii="宋体" w:hAnsi="宋体"/>
                <w:color w:val="000000"/>
                <w:szCs w:val="21"/>
              </w:rPr>
              <w:t>具备有中国网络安全审查技术与认证中心颁发的“信息系统安全集成服务资质证书（即CCRC）” 二级及以上；（20%分）</w:t>
            </w:r>
          </w:p>
          <w:p>
            <w:pPr>
              <w:pStyle w:val="6"/>
              <w:widowControl/>
              <w:numPr>
                <w:ilvl w:val="0"/>
                <w:numId w:val="4"/>
              </w:numPr>
              <w:spacing w:after="60"/>
              <w:ind w:firstLineChars="0"/>
              <w:jc w:val="left"/>
              <w:rPr>
                <w:rFonts w:hint="eastAsia" w:ascii="宋体" w:hAnsi="宋体" w:cs="宋体"/>
                <w:color w:val="000000"/>
                <w:kern w:val="0"/>
                <w:szCs w:val="21"/>
              </w:rPr>
            </w:pPr>
            <w:r>
              <w:rPr>
                <w:rFonts w:hint="eastAsia" w:ascii="宋体" w:hAnsi="宋体" w:cs="宋体"/>
                <w:color w:val="000000"/>
                <w:kern w:val="0"/>
                <w:szCs w:val="21"/>
              </w:rPr>
              <w:t>投标人具有</w:t>
            </w:r>
            <w:r>
              <w:rPr>
                <w:rFonts w:hint="eastAsia" w:ascii="宋体" w:hAnsi="宋体"/>
                <w:color w:val="000000"/>
                <w:szCs w:val="21"/>
              </w:rPr>
              <w:t>中国网络安全审查技术与认证中心</w:t>
            </w:r>
            <w:r>
              <w:rPr>
                <w:rFonts w:hint="eastAsia" w:ascii="宋体" w:hAnsi="宋体" w:cs="宋体"/>
                <w:color w:val="000000"/>
                <w:kern w:val="0"/>
                <w:szCs w:val="21"/>
              </w:rPr>
              <w:t>颁发的</w:t>
            </w:r>
            <w:r>
              <w:rPr>
                <w:rFonts w:hint="eastAsia" w:ascii="宋体" w:hAnsi="宋体"/>
                <w:color w:val="000000"/>
                <w:szCs w:val="21"/>
              </w:rPr>
              <w:t>信息安全服务资质认证证书（信息系统安全运维一级）</w:t>
            </w:r>
            <w:r>
              <w:rPr>
                <w:rFonts w:hint="eastAsia" w:ascii="宋体" w:hAnsi="宋体" w:cs="宋体"/>
                <w:color w:val="000000"/>
                <w:kern w:val="0"/>
                <w:szCs w:val="21"/>
              </w:rPr>
              <w:t>（20%分）</w:t>
            </w:r>
          </w:p>
          <w:p>
            <w:pPr>
              <w:pStyle w:val="6"/>
              <w:widowControl/>
              <w:numPr>
                <w:ilvl w:val="0"/>
                <w:numId w:val="4"/>
              </w:numPr>
              <w:spacing w:after="60"/>
              <w:ind w:firstLineChars="0"/>
              <w:jc w:val="left"/>
              <w:rPr>
                <w:rFonts w:hint="eastAsia" w:ascii="宋体" w:hAnsi="宋体" w:cs="宋体"/>
                <w:color w:val="000000"/>
                <w:kern w:val="0"/>
                <w:szCs w:val="21"/>
              </w:rPr>
            </w:pPr>
            <w:r>
              <w:rPr>
                <w:rFonts w:hint="eastAsia" w:ascii="宋体" w:hAnsi="宋体"/>
                <w:color w:val="000000"/>
                <w:szCs w:val="21"/>
              </w:rPr>
              <w:t>具备副省级以上颁发的高新技术企业认证；（20%分）</w:t>
            </w:r>
          </w:p>
          <w:p>
            <w:pPr>
              <w:widowControl/>
              <w:spacing w:after="6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种证书全部提供得100%分数，每少提供一种证书扣除20%分数，扣完为止。</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证明文件：</w:t>
            </w:r>
          </w:p>
          <w:p>
            <w:pPr>
              <w:widowControl/>
              <w:spacing w:after="60"/>
              <w:jc w:val="left"/>
              <w:rPr>
                <w:rFonts w:ascii="宋体" w:hAnsi="宋体" w:cs="宋体"/>
                <w:color w:val="000000"/>
                <w:kern w:val="0"/>
                <w:szCs w:val="21"/>
              </w:rPr>
            </w:pPr>
            <w:r>
              <w:rPr>
                <w:rFonts w:hint="eastAsia" w:ascii="宋体" w:hAnsi="宋体" w:cs="宋体"/>
                <w:color w:val="000000"/>
                <w:kern w:val="0"/>
                <w:szCs w:val="21"/>
              </w:rPr>
              <w:t>要求提供相关资质文件扫描件（原件备查）作为得分依据。评分中出现无证明资料或专家无法凭所提供资料判断是否得分的情况，一律作不得分处理。</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15</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1290"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2.4</w:t>
            </w:r>
          </w:p>
        </w:tc>
        <w:tc>
          <w:tcPr>
            <w:tcW w:w="674" w:type="pct"/>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售后服务方案及承诺</w:t>
            </w:r>
          </w:p>
        </w:tc>
        <w:tc>
          <w:tcPr>
            <w:tcW w:w="3021" w:type="pct"/>
            <w:gridSpan w:val="2"/>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1、售后服务方案评价</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 xml:space="preserve">专家根据投标人拟定的服务与故障技术支持响应时间、到场时间、修复时间的承诺和应急保障方案，以及投标人在服务到期后，对于项目的后续服务承诺内容类型、频率、服务方案及承诺，横向对比评分，按优得81-90%分数，良得71-80%分数，中得10-20%分数，差不得分。 </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2、本地售后服务机构情况评价</w:t>
            </w:r>
          </w:p>
          <w:p>
            <w:pPr>
              <w:widowControl/>
              <w:spacing w:after="60"/>
              <w:jc w:val="left"/>
              <w:rPr>
                <w:rFonts w:ascii="宋体" w:hAnsi="宋体" w:cs="宋体"/>
                <w:color w:val="000000"/>
                <w:kern w:val="0"/>
                <w:szCs w:val="21"/>
              </w:rPr>
            </w:pPr>
            <w:r>
              <w:rPr>
                <w:rFonts w:hint="eastAsia" w:ascii="宋体" w:hAnsi="宋体" w:cs="宋体"/>
                <w:color w:val="000000"/>
                <w:kern w:val="0"/>
                <w:szCs w:val="21"/>
              </w:rPr>
              <w:t>以服务的方便快捷评价，投标人在深圳市范围内设有固定办公场所并提供相关证明，得10%分数，投标人须提供营业执照或房产证明或租赁合同扫描件，原件备查。</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5</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766"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2.5</w:t>
            </w:r>
          </w:p>
        </w:tc>
        <w:tc>
          <w:tcPr>
            <w:tcW w:w="674" w:type="pct"/>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拟安排的项目负责人情况（一人）</w:t>
            </w:r>
          </w:p>
        </w:tc>
        <w:tc>
          <w:tcPr>
            <w:tcW w:w="3021" w:type="pct"/>
            <w:gridSpan w:val="2"/>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要求项目负责人具有硕士或者硕士以上学位，且工作经验5年以上，以上要求不满足，此项不得分；要求项目负责人对信息安全领域及项目管理领域拥有较强的能力，并且拥有信息安全相关的证书：</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1、</w:t>
            </w:r>
            <w:r>
              <w:rPr>
                <w:rFonts w:hint="eastAsia"/>
              </w:rPr>
              <w:t>具备省级人力资源和社会保障局部门认证的信息系统项目管理师（高级）证书</w:t>
            </w:r>
            <w:r>
              <w:rPr>
                <w:rFonts w:hint="eastAsia" w:ascii="宋体" w:hAnsi="宋体" w:cs="宋体"/>
                <w:color w:val="000000"/>
                <w:kern w:val="0"/>
                <w:szCs w:val="21"/>
              </w:rPr>
              <w:t>。</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2、</w:t>
            </w:r>
            <w:r>
              <w:rPr>
                <w:rFonts w:hint="eastAsia"/>
              </w:rPr>
              <w:t>具备硕士学位或以上</w:t>
            </w:r>
            <w:r>
              <w:rPr>
                <w:rFonts w:hint="eastAsia" w:ascii="宋体" w:hAnsi="宋体" w:cs="宋体"/>
                <w:color w:val="000000"/>
                <w:kern w:val="0"/>
                <w:szCs w:val="21"/>
              </w:rPr>
              <w:t>。</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3、具备高级信息系统项目管理师证书。</w:t>
            </w:r>
          </w:p>
          <w:p>
            <w:pPr>
              <w:widowControl/>
              <w:spacing w:after="60"/>
              <w:jc w:val="left"/>
              <w:rPr>
                <w:rFonts w:hint="eastAsia" w:ascii="宋体" w:hAnsi="宋体" w:cs="宋体"/>
                <w:color w:val="000000"/>
                <w:kern w:val="0"/>
                <w:szCs w:val="21"/>
              </w:rPr>
            </w:pPr>
            <w:r>
              <w:rPr>
                <w:rFonts w:hint="eastAsia" w:ascii="宋体" w:hAnsi="宋体"/>
                <w:color w:val="000000"/>
                <w:szCs w:val="21"/>
              </w:rPr>
              <w:t>4.具有中国网络安全审查与认证中心颁发的“信息安全保障人员认证证书”</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5、具备中国信息安全测评中心颁发的CISP证书。</w:t>
            </w:r>
          </w:p>
          <w:p>
            <w:pPr>
              <w:widowControl/>
              <w:spacing w:after="6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按点得分，项目负责人具备全部5种证书得100%分数，具备3-4种证书，得60%分数，具备1-2种证书得30%分数，不具备证书不得分。</w:t>
            </w:r>
          </w:p>
          <w:p>
            <w:pPr>
              <w:widowControl/>
              <w:spacing w:after="6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证明文件：</w:t>
            </w:r>
          </w:p>
          <w:p>
            <w:pPr>
              <w:widowControl/>
              <w:spacing w:after="6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（1）提供项目经理近3个月在投标人处缴纳社保证明材料，原件备查；</w:t>
            </w:r>
          </w:p>
          <w:p>
            <w:pPr>
              <w:widowControl/>
              <w:spacing w:after="60"/>
              <w:jc w:val="left"/>
              <w:rPr>
                <w:rFonts w:ascii="宋体" w:hAnsi="宋体" w:cs="宋体"/>
                <w:color w:val="000000"/>
                <w:kern w:val="0"/>
                <w:szCs w:val="21"/>
              </w:rPr>
            </w:pPr>
            <w:r>
              <w:rPr>
                <w:rFonts w:hint="eastAsia" w:ascii="宋体" w:hAnsi="宋体" w:cs="宋体"/>
                <w:color w:val="000000"/>
                <w:kern w:val="0"/>
                <w:szCs w:val="21"/>
              </w:rPr>
              <w:t>（2）须提供相关资质证书及证明材料复印件，原件备查。提供的证明文件不满足要求或未提供证明文件或无法评定的不得分。</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10</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861" w:hRule="atLeast"/>
          <w:jc w:val="center"/>
        </w:trPr>
        <w:tc>
          <w:tcPr>
            <w:tcW w:w="329" w:type="pct"/>
            <w:gridSpan w:val="2"/>
            <w:tcBorders>
              <w:top w:val="nil"/>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2.6</w:t>
            </w:r>
          </w:p>
        </w:tc>
        <w:tc>
          <w:tcPr>
            <w:tcW w:w="674" w:type="pct"/>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拟安排的项目团队成员（驻点人员）情况</w:t>
            </w:r>
          </w:p>
        </w:tc>
        <w:tc>
          <w:tcPr>
            <w:tcW w:w="3021" w:type="pct"/>
            <w:gridSpan w:val="2"/>
            <w:tcBorders>
              <w:top w:val="nil"/>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拟安排的项目驻点人员至少3人，并满足下列要求：</w:t>
            </w:r>
          </w:p>
          <w:p>
            <w:pPr>
              <w:pStyle w:val="6"/>
              <w:widowControl/>
              <w:numPr>
                <w:ilvl w:val="0"/>
                <w:numId w:val="5"/>
              </w:numPr>
              <w:spacing w:after="60"/>
              <w:ind w:firstLineChars="0"/>
              <w:jc w:val="left"/>
              <w:rPr>
                <w:rFonts w:hint="eastAsia" w:ascii="宋体" w:hAnsi="宋体" w:cs="宋体"/>
                <w:color w:val="000000"/>
                <w:kern w:val="0"/>
                <w:szCs w:val="21"/>
              </w:rPr>
            </w:pPr>
            <w:r>
              <w:rPr>
                <w:rFonts w:hint="eastAsia" w:ascii="宋体" w:hAnsi="宋体" w:cs="宋体"/>
                <w:color w:val="000000"/>
                <w:kern w:val="0"/>
                <w:szCs w:val="21"/>
              </w:rPr>
              <w:t>数据中心驻点运维</w:t>
            </w:r>
            <w:r>
              <w:rPr>
                <w:rFonts w:hint="eastAsia" w:ascii="宋体" w:hAnsi="宋体" w:cs="宋体"/>
                <w:szCs w:val="21"/>
              </w:rPr>
              <w:t>人员</w:t>
            </w:r>
            <w:r>
              <w:rPr>
                <w:rFonts w:ascii="宋体" w:hAnsi="宋体" w:cs="宋体"/>
                <w:szCs w:val="21"/>
              </w:rPr>
              <w:t xml:space="preserve">A和B： </w:t>
            </w:r>
            <w:r>
              <w:rPr>
                <w:rFonts w:hint="eastAsia" w:ascii="宋体" w:hAnsi="宋体" w:cs="宋体"/>
                <w:szCs w:val="21"/>
              </w:rPr>
              <w:t>具备同等华为</w:t>
            </w:r>
            <w:r>
              <w:rPr>
                <w:rFonts w:ascii="宋体" w:hAnsi="宋体" w:cs="宋体"/>
                <w:szCs w:val="21"/>
              </w:rPr>
              <w:t>HCIP-数通证书一个及以上</w:t>
            </w:r>
            <w:r>
              <w:rPr>
                <w:rFonts w:hint="eastAsia" w:ascii="宋体" w:hAnsi="宋体" w:cs="宋体"/>
                <w:szCs w:val="21"/>
              </w:rPr>
              <w:t>；（25</w:t>
            </w:r>
            <w:r>
              <w:rPr>
                <w:rFonts w:ascii="宋体" w:hAnsi="宋体" w:cs="宋体"/>
                <w:szCs w:val="21"/>
              </w:rPr>
              <w:t>%</w:t>
            </w:r>
            <w:r>
              <w:rPr>
                <w:rFonts w:hint="eastAsia" w:ascii="宋体" w:hAnsi="宋体" w:cs="宋体"/>
                <w:szCs w:val="21"/>
              </w:rPr>
              <w:t>）</w:t>
            </w:r>
          </w:p>
          <w:p>
            <w:pPr>
              <w:pStyle w:val="6"/>
              <w:widowControl/>
              <w:numPr>
                <w:ilvl w:val="0"/>
                <w:numId w:val="5"/>
              </w:numPr>
              <w:spacing w:after="60"/>
              <w:ind w:firstLineChars="0"/>
              <w:jc w:val="left"/>
              <w:rPr>
                <w:rFonts w:hint="eastAsia" w:ascii="宋体" w:hAnsi="宋体" w:cs="宋体"/>
                <w:color w:val="000000"/>
                <w:kern w:val="0"/>
                <w:szCs w:val="21"/>
              </w:rPr>
            </w:pPr>
            <w:r>
              <w:rPr>
                <w:rFonts w:hint="eastAsia" w:ascii="宋体" w:hAnsi="宋体" w:cs="宋体"/>
                <w:color w:val="000000"/>
                <w:kern w:val="0"/>
                <w:szCs w:val="21"/>
              </w:rPr>
              <w:t>项目资深顾问，要求熟悉信息安全技术及信息安全管理，工作经验5年以上，具备CISP证书，并具备PMP或者ITSS证书中的一种，满足此项要求得25%分数</w:t>
            </w:r>
          </w:p>
          <w:p>
            <w:pPr>
              <w:pStyle w:val="6"/>
              <w:widowControl/>
              <w:numPr>
                <w:ilvl w:val="0"/>
                <w:numId w:val="5"/>
              </w:numPr>
              <w:spacing w:after="60"/>
              <w:ind w:firstLineChars="0"/>
              <w:jc w:val="left"/>
              <w:rPr>
                <w:rFonts w:hint="eastAsia" w:ascii="宋体" w:hAnsi="宋体" w:cs="宋体"/>
                <w:color w:val="000000"/>
                <w:kern w:val="0"/>
                <w:szCs w:val="21"/>
              </w:rPr>
            </w:pPr>
            <w:r>
              <w:rPr>
                <w:rFonts w:hint="eastAsia" w:ascii="宋体" w:hAnsi="宋体" w:cs="宋体"/>
                <w:color w:val="000000"/>
                <w:kern w:val="0"/>
                <w:szCs w:val="21"/>
              </w:rPr>
              <w:t>高级渗透测试工程师，该名人员在国家信息安全漏洞共享平台(CNVD)提交原创漏洞40个以上（以原创漏洞证明证书为准），满足此项要求得25%分数。</w:t>
            </w:r>
          </w:p>
          <w:p>
            <w:pPr>
              <w:pStyle w:val="6"/>
              <w:widowControl/>
              <w:numPr>
                <w:ilvl w:val="0"/>
                <w:numId w:val="5"/>
              </w:numPr>
              <w:spacing w:after="60"/>
              <w:ind w:firstLineChars="0"/>
              <w:jc w:val="left"/>
              <w:rPr>
                <w:rFonts w:hint="eastAsia" w:ascii="宋体" w:hAnsi="宋体" w:cs="宋体"/>
                <w:color w:val="000000"/>
                <w:kern w:val="0"/>
                <w:szCs w:val="21"/>
              </w:rPr>
            </w:pPr>
            <w:r>
              <w:rPr>
                <w:rFonts w:hint="eastAsia" w:ascii="宋体" w:hAnsi="宋体" w:cs="宋体"/>
                <w:color w:val="000000"/>
                <w:kern w:val="0"/>
                <w:szCs w:val="21"/>
              </w:rPr>
              <w:t>资深数据安全顾问，要求熟悉数据安全治理，具备CISP-DSG证书，提供1人得25%分数。</w:t>
            </w:r>
          </w:p>
          <w:p>
            <w:pPr>
              <w:widowControl/>
              <w:jc w:val="left"/>
              <w:rPr>
                <w:rFonts w:hint="eastAsia" w:ascii="宋体" w:hAnsi="宋体" w:cs="宋体"/>
                <w:color w:val="000000"/>
                <w:kern w:val="0"/>
                <w:szCs w:val="21"/>
              </w:rPr>
            </w:pPr>
            <w:r>
              <w:rPr>
                <w:rFonts w:hint="eastAsia" w:ascii="宋体" w:hAnsi="宋体" w:cs="宋体"/>
                <w:color w:val="000000"/>
                <w:kern w:val="0"/>
                <w:szCs w:val="21"/>
              </w:rPr>
              <w:t>以上4项，合计最多可得10分。项目服务团队成员，每人至少持有以上其中1项证书，单人满足以上多项时不能重复计分。</w:t>
            </w:r>
          </w:p>
          <w:p>
            <w:pPr>
              <w:widowControl/>
              <w:spacing w:after="6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证明文件：</w:t>
            </w:r>
          </w:p>
          <w:p>
            <w:pPr>
              <w:widowControl/>
              <w:spacing w:after="6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（1）提供项目团队近3个月在投标人处缴纳社保证明材料，原件备查；</w:t>
            </w:r>
          </w:p>
          <w:p>
            <w:pPr>
              <w:widowControl/>
              <w:spacing w:after="60"/>
              <w:jc w:val="left"/>
              <w:rPr>
                <w:rFonts w:ascii="宋体" w:hAnsi="宋体" w:cs="宋体"/>
                <w:color w:val="000000"/>
                <w:kern w:val="0"/>
                <w:szCs w:val="21"/>
              </w:rPr>
            </w:pPr>
            <w:r>
              <w:rPr>
                <w:rFonts w:hint="eastAsia" w:ascii="宋体" w:hAnsi="宋体" w:cs="宋体"/>
                <w:color w:val="000000"/>
                <w:kern w:val="0"/>
                <w:szCs w:val="21"/>
              </w:rPr>
              <w:t>（2）须提供相关资质证书及证明材料复印件，原件备查。提供的证明文件不满足要求或未提供证明文件或无法评定的不得分。</w:t>
            </w:r>
          </w:p>
        </w:tc>
        <w:tc>
          <w:tcPr>
            <w:tcW w:w="374" w:type="pct"/>
            <w:gridSpan w:val="2"/>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10</w:t>
            </w:r>
          </w:p>
        </w:tc>
        <w:tc>
          <w:tcPr>
            <w:tcW w:w="602" w:type="pct"/>
            <w:tcBorders>
              <w:top w:val="nil"/>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525" w:hRule="atLeast"/>
          <w:jc w:val="center"/>
        </w:trPr>
        <w:tc>
          <w:tcPr>
            <w:tcW w:w="329"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b/>
                <w:color w:val="000000"/>
                <w:kern w:val="0"/>
                <w:szCs w:val="21"/>
              </w:rPr>
            </w:pPr>
            <w:r>
              <w:rPr>
                <w:rFonts w:hint="eastAsia" w:ascii="宋体" w:hAnsi="宋体" w:cs="宋体"/>
                <w:b/>
                <w:color w:val="000000"/>
                <w:kern w:val="0"/>
                <w:szCs w:val="21"/>
              </w:rPr>
              <w:t>3</w:t>
            </w:r>
          </w:p>
        </w:tc>
        <w:tc>
          <w:tcPr>
            <w:tcW w:w="3695" w:type="pct"/>
            <w:gridSpan w:val="3"/>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b/>
                <w:color w:val="000000"/>
                <w:kern w:val="0"/>
                <w:szCs w:val="21"/>
              </w:rPr>
            </w:pPr>
            <w:r>
              <w:rPr>
                <w:rFonts w:hint="eastAsia" w:ascii="宋体" w:hAnsi="宋体" w:cs="宋体"/>
                <w:b/>
                <w:color w:val="000000"/>
                <w:kern w:val="0"/>
                <w:szCs w:val="21"/>
              </w:rPr>
              <w:t>其他部分</w:t>
            </w:r>
          </w:p>
        </w:tc>
        <w:tc>
          <w:tcPr>
            <w:tcW w:w="374" w:type="pct"/>
            <w:gridSpan w:val="2"/>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b/>
                <w:color w:val="000000"/>
                <w:kern w:val="0"/>
                <w:szCs w:val="21"/>
              </w:rPr>
            </w:pPr>
            <w:r>
              <w:rPr>
                <w:rFonts w:hint="eastAsia" w:ascii="宋体" w:hAnsi="宋体" w:cs="宋体"/>
                <w:b/>
                <w:color w:val="000000"/>
                <w:kern w:val="0"/>
                <w:szCs w:val="21"/>
              </w:rPr>
              <w:t>20</w:t>
            </w:r>
          </w:p>
        </w:tc>
        <w:tc>
          <w:tcPr>
            <w:tcW w:w="602" w:type="pct"/>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b/>
                <w:color w:val="000000"/>
                <w:kern w:val="0"/>
                <w:szCs w:val="21"/>
              </w:rPr>
            </w:pPr>
          </w:p>
        </w:tc>
      </w:tr>
      <w:tr>
        <w:tblPrEx>
          <w:tblCellMar>
            <w:top w:w="0" w:type="dxa"/>
            <w:left w:w="108" w:type="dxa"/>
            <w:bottom w:w="0" w:type="dxa"/>
            <w:right w:w="108" w:type="dxa"/>
          </w:tblCellMar>
        </w:tblPrEx>
        <w:trPr>
          <w:trHeight w:val="1339" w:hRule="atLeast"/>
          <w:jc w:val="center"/>
        </w:trPr>
        <w:tc>
          <w:tcPr>
            <w:tcW w:w="329"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 xml:space="preserve">3.1 </w:t>
            </w:r>
          </w:p>
        </w:tc>
        <w:tc>
          <w:tcPr>
            <w:tcW w:w="674" w:type="pct"/>
            <w:tcBorders>
              <w:top w:val="single" w:color="000000" w:sz="8" w:space="0"/>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本地安全服务能力</w:t>
            </w:r>
          </w:p>
        </w:tc>
        <w:tc>
          <w:tcPr>
            <w:tcW w:w="3021" w:type="pct"/>
            <w:gridSpan w:val="2"/>
            <w:tcBorders>
              <w:top w:val="single" w:color="000000" w:sz="8" w:space="0"/>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为保证服务质量和响应的及时性，要求投标单位员工人数具有一定规模，投标单位人员在50人及以上的100%分数，人数为40-49人得60%分数，人数为30-39人得40%分数，人数为20-29得20%分数，其他情况不得分。（人数以深圳社保局出具的社保缴纳证明为准，请提供近三个月社保证明书扫描件，原件备查。）</w:t>
            </w:r>
          </w:p>
        </w:tc>
        <w:tc>
          <w:tcPr>
            <w:tcW w:w="374" w:type="pct"/>
            <w:gridSpan w:val="2"/>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5</w:t>
            </w:r>
          </w:p>
        </w:tc>
        <w:tc>
          <w:tcPr>
            <w:tcW w:w="602" w:type="pct"/>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525" w:hRule="atLeast"/>
          <w:jc w:val="center"/>
        </w:trPr>
        <w:tc>
          <w:tcPr>
            <w:tcW w:w="329"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3.2</w:t>
            </w:r>
          </w:p>
        </w:tc>
        <w:tc>
          <w:tcPr>
            <w:tcW w:w="674" w:type="pct"/>
            <w:tcBorders>
              <w:top w:val="single" w:color="000000" w:sz="8" w:space="0"/>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投标人近三年同类业绩</w:t>
            </w:r>
          </w:p>
        </w:tc>
        <w:tc>
          <w:tcPr>
            <w:tcW w:w="3021" w:type="pct"/>
            <w:gridSpan w:val="2"/>
            <w:tcBorders>
              <w:top w:val="single" w:color="000000" w:sz="8" w:space="0"/>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为保证服务质量，要求投标人具备同类型项目的经验。</w:t>
            </w:r>
          </w:p>
          <w:p>
            <w:pPr>
              <w:jc w:val="left"/>
              <w:rPr>
                <w:rFonts w:hint="eastAsia" w:ascii="宋体" w:hAnsi="宋体"/>
                <w:szCs w:val="21"/>
              </w:rPr>
            </w:pPr>
            <w:r>
              <w:rPr>
                <w:rFonts w:hint="eastAsia" w:ascii="宋体" w:hAnsi="宋体"/>
                <w:szCs w:val="21"/>
              </w:rPr>
              <w:t>提供近三年</w:t>
            </w:r>
            <w:r>
              <w:rPr>
                <w:rFonts w:hint="eastAsia" w:ascii="宋体" w:hAnsi="宋体"/>
                <w:color w:val="FF0000"/>
                <w:szCs w:val="21"/>
              </w:rPr>
              <w:t>（2018年1月1日至今</w:t>
            </w:r>
            <w:r>
              <w:rPr>
                <w:rFonts w:hint="eastAsia" w:ascii="宋体" w:hAnsi="宋体"/>
                <w:szCs w:val="21"/>
              </w:rPr>
              <w:t>,以合同签订时间为准）副省级或以上政府机构的安全运维服务运维类项目业绩。具有1个的得25%分；</w:t>
            </w:r>
          </w:p>
          <w:p>
            <w:pPr>
              <w:jc w:val="left"/>
              <w:rPr>
                <w:rFonts w:hint="eastAsia" w:ascii="宋体" w:hAnsi="宋体"/>
                <w:szCs w:val="21"/>
              </w:rPr>
            </w:pPr>
            <w:r>
              <w:rPr>
                <w:rFonts w:hint="eastAsia" w:ascii="宋体" w:hAnsi="宋体"/>
                <w:szCs w:val="21"/>
              </w:rPr>
              <w:t>1、要求同时提供合同关键信息证明文件作为得分依据。</w:t>
            </w:r>
          </w:p>
          <w:p>
            <w:pPr>
              <w:jc w:val="left"/>
              <w:rPr>
                <w:rFonts w:hint="eastAsia" w:ascii="宋体" w:hAnsi="宋体"/>
                <w:szCs w:val="21"/>
              </w:rPr>
            </w:pPr>
            <w:r>
              <w:rPr>
                <w:rFonts w:hint="eastAsia" w:ascii="宋体" w:hAnsi="宋体"/>
                <w:szCs w:val="21"/>
              </w:rPr>
              <w:t>2、通过合同关键信息无法判断是否得分的，还须同时提供能证明得分的其它证明资料，如项目报告或合同甲方出具的证明文件等。</w:t>
            </w:r>
          </w:p>
          <w:p>
            <w:pPr>
              <w:widowControl/>
              <w:spacing w:after="60"/>
              <w:jc w:val="left"/>
              <w:rPr>
                <w:rFonts w:ascii="宋体" w:hAnsi="宋体" w:cs="宋体"/>
                <w:color w:val="000000"/>
                <w:kern w:val="0"/>
                <w:szCs w:val="21"/>
              </w:rPr>
            </w:pPr>
            <w:r>
              <w:rPr>
                <w:rFonts w:hint="eastAsia" w:ascii="宋体" w:hAnsi="宋体"/>
                <w:szCs w:val="21"/>
              </w:rPr>
              <w:t>3、以上资料均要求提供扫描件，原件备查。评分中出现无证明资料或专家无法凭所提供资料判断是否得分的情况，一律作不得分处理。</w:t>
            </w:r>
          </w:p>
        </w:tc>
        <w:tc>
          <w:tcPr>
            <w:tcW w:w="374" w:type="pct"/>
            <w:gridSpan w:val="2"/>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8</w:t>
            </w:r>
          </w:p>
        </w:tc>
        <w:tc>
          <w:tcPr>
            <w:tcW w:w="602" w:type="pct"/>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CellMar>
            <w:top w:w="0" w:type="dxa"/>
            <w:left w:w="108" w:type="dxa"/>
            <w:bottom w:w="0" w:type="dxa"/>
            <w:right w:w="108" w:type="dxa"/>
          </w:tblCellMar>
        </w:tblPrEx>
        <w:trPr>
          <w:trHeight w:val="525" w:hRule="atLeast"/>
          <w:jc w:val="center"/>
        </w:trPr>
        <w:tc>
          <w:tcPr>
            <w:tcW w:w="329"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3.4</w:t>
            </w:r>
          </w:p>
        </w:tc>
        <w:tc>
          <w:tcPr>
            <w:tcW w:w="674" w:type="pct"/>
            <w:tcBorders>
              <w:top w:val="single" w:color="000000" w:sz="8" w:space="0"/>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履约评价</w:t>
            </w:r>
          </w:p>
        </w:tc>
        <w:tc>
          <w:tcPr>
            <w:tcW w:w="3021" w:type="pct"/>
            <w:gridSpan w:val="2"/>
            <w:tcBorders>
              <w:top w:val="single" w:color="000000" w:sz="8" w:space="0"/>
              <w:left w:val="nil"/>
              <w:bottom w:val="single" w:color="000000" w:sz="8" w:space="0"/>
              <w:right w:val="single" w:color="000000" w:sz="8" w:space="0"/>
            </w:tcBorders>
            <w:noWrap w:val="0"/>
            <w:vAlign w:val="center"/>
          </w:tcPr>
          <w:p>
            <w:pPr>
              <w:widowControl/>
              <w:spacing w:after="60"/>
              <w:jc w:val="left"/>
              <w:rPr>
                <w:rFonts w:ascii="宋体" w:hAnsi="宋体" w:cs="宋体"/>
                <w:color w:val="000000"/>
                <w:kern w:val="0"/>
                <w:szCs w:val="21"/>
              </w:rPr>
            </w:pPr>
            <w:r>
              <w:rPr>
                <w:rFonts w:hint="eastAsia" w:ascii="宋体" w:hAnsi="宋体" w:cs="宋体"/>
                <w:color w:val="000000"/>
                <w:kern w:val="0"/>
                <w:szCs w:val="21"/>
              </w:rPr>
              <w:t>1、根据投标人以往的信息安全服务项目履约情况进行评价，投标人每提供一个信息安全服务项目的表扬信/感谢信得20%分数，最高得100%分数。</w:t>
            </w:r>
          </w:p>
          <w:p>
            <w:pPr>
              <w:widowControl/>
              <w:spacing w:after="60"/>
              <w:jc w:val="left"/>
              <w:rPr>
                <w:rFonts w:hint="eastAsia" w:ascii="宋体" w:hAnsi="宋体" w:cs="宋体"/>
                <w:color w:val="000000"/>
                <w:kern w:val="0"/>
                <w:szCs w:val="21"/>
              </w:rPr>
            </w:pPr>
            <w:r>
              <w:rPr>
                <w:rFonts w:hint="eastAsia" w:ascii="宋体" w:hAnsi="宋体" w:cs="宋体"/>
                <w:color w:val="000000"/>
                <w:kern w:val="0"/>
                <w:szCs w:val="21"/>
              </w:rPr>
              <w:t>证明文件：</w:t>
            </w:r>
          </w:p>
          <w:p>
            <w:pPr>
              <w:widowControl/>
              <w:spacing w:after="60"/>
              <w:jc w:val="left"/>
              <w:rPr>
                <w:rFonts w:ascii="宋体" w:hAnsi="宋体" w:cs="宋体"/>
                <w:color w:val="000000"/>
                <w:kern w:val="0"/>
                <w:szCs w:val="21"/>
              </w:rPr>
            </w:pPr>
            <w:r>
              <w:rPr>
                <w:rFonts w:hint="eastAsia" w:ascii="宋体" w:hAnsi="宋体" w:cs="宋体"/>
                <w:color w:val="000000"/>
                <w:kern w:val="0"/>
                <w:szCs w:val="21"/>
              </w:rPr>
              <w:t>要求提供表扬信/感谢信复印件，原件备查。</w:t>
            </w:r>
          </w:p>
        </w:tc>
        <w:tc>
          <w:tcPr>
            <w:tcW w:w="374" w:type="pct"/>
            <w:gridSpan w:val="2"/>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5</w:t>
            </w:r>
          </w:p>
        </w:tc>
        <w:tc>
          <w:tcPr>
            <w:tcW w:w="602" w:type="pct"/>
            <w:tcBorders>
              <w:top w:val="single" w:color="000000" w:sz="8" w:space="0"/>
              <w:left w:val="nil"/>
              <w:bottom w:val="single" w:color="000000" w:sz="8" w:space="0"/>
              <w:right w:val="single" w:color="000000" w:sz="8" w:space="0"/>
            </w:tcBorders>
            <w:noWrap w:val="0"/>
            <w:vAlign w:val="center"/>
          </w:tcPr>
          <w:p>
            <w:pPr>
              <w:widowControl/>
              <w:spacing w:after="60"/>
              <w:jc w:val="center"/>
              <w:rPr>
                <w:rFonts w:ascii="宋体" w:hAnsi="宋体" w:cs="宋体"/>
                <w:color w:val="000000"/>
                <w:kern w:val="0"/>
                <w:szCs w:val="21"/>
              </w:rPr>
            </w:pPr>
            <w:r>
              <w:rPr>
                <w:rFonts w:hint="eastAsia" w:ascii="宋体" w:hAnsi="宋体" w:cs="宋体"/>
                <w:color w:val="000000"/>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1" w:type="pct"/>
            <w:noWrap w:val="0"/>
            <w:vAlign w:val="top"/>
          </w:tcPr>
          <w:p>
            <w:pPr>
              <w:rPr>
                <w:rFonts w:hint="eastAsia" w:ascii="宋体" w:hAnsi="宋体"/>
                <w:color w:val="000000"/>
                <w:szCs w:val="21"/>
              </w:rPr>
            </w:pPr>
            <w:r>
              <w:rPr>
                <w:rFonts w:hint="eastAsia" w:ascii="宋体" w:hAnsi="宋体"/>
                <w:color w:val="000000"/>
                <w:szCs w:val="21"/>
              </w:rPr>
              <w:t xml:space="preserve">  3.5</w:t>
            </w:r>
          </w:p>
        </w:tc>
        <w:tc>
          <w:tcPr>
            <w:tcW w:w="699" w:type="pct"/>
            <w:gridSpan w:val="3"/>
            <w:noWrap w:val="0"/>
            <w:vAlign w:val="top"/>
          </w:tcPr>
          <w:p>
            <w:pPr>
              <w:rPr>
                <w:rFonts w:hint="eastAsia" w:ascii="宋体" w:hAnsi="宋体"/>
                <w:color w:val="000000"/>
                <w:szCs w:val="21"/>
              </w:rPr>
            </w:pPr>
            <w:r>
              <w:rPr>
                <w:rFonts w:hint="eastAsia" w:ascii="宋体" w:hAnsi="宋体"/>
                <w:color w:val="000000"/>
                <w:szCs w:val="21"/>
              </w:rPr>
              <w:t>扶持中小微企业</w:t>
            </w:r>
          </w:p>
        </w:tc>
        <w:tc>
          <w:tcPr>
            <w:tcW w:w="3004" w:type="pct"/>
            <w:noWrap w:val="0"/>
            <w:vAlign w:val="top"/>
          </w:tcPr>
          <w:p>
            <w:pPr>
              <w:rPr>
                <w:rFonts w:hint="eastAsia" w:ascii="宋体" w:hAnsi="宋体"/>
                <w:color w:val="000000"/>
                <w:szCs w:val="21"/>
              </w:rPr>
            </w:pPr>
            <w:r>
              <w:rPr>
                <w:rFonts w:hint="eastAsia" w:ascii="宋体" w:cs="宋体"/>
                <w:kern w:val="0"/>
                <w:sz w:val="18"/>
                <w:szCs w:val="18"/>
                <w:lang w:val="zh-CN"/>
              </w:rPr>
              <w:t>符合财政部、工信部、国家发改委《关于印发中小企业划型标准规定的通知》中</w:t>
            </w:r>
            <w:r>
              <w:rPr>
                <w:rFonts w:ascii="宋体" w:cs="宋体"/>
                <w:kern w:val="0"/>
                <w:sz w:val="18"/>
                <w:szCs w:val="18"/>
                <w:lang w:val="zh-CN"/>
              </w:rPr>
              <w:t>“</w:t>
            </w:r>
            <w:r>
              <w:rPr>
                <w:rFonts w:hint="eastAsia" w:ascii="宋体" w:cs="宋体"/>
                <w:kern w:val="0"/>
                <w:sz w:val="18"/>
                <w:szCs w:val="18"/>
                <w:lang w:val="zh-CN"/>
              </w:rPr>
              <w:t>软件和信息技术服务业</w:t>
            </w:r>
            <w:r>
              <w:rPr>
                <w:rFonts w:ascii="宋体" w:cs="宋体"/>
                <w:kern w:val="0"/>
                <w:sz w:val="18"/>
                <w:szCs w:val="18"/>
                <w:lang w:val="zh-CN"/>
              </w:rPr>
              <w:t>”</w:t>
            </w:r>
            <w:r>
              <w:rPr>
                <w:rFonts w:hint="eastAsia" w:ascii="宋体" w:cs="宋体"/>
                <w:kern w:val="0"/>
                <w:sz w:val="18"/>
                <w:szCs w:val="18"/>
                <w:lang w:val="zh-CN"/>
              </w:rPr>
              <w:t>中小微企业的企业，提供证明材料即可获得评分。</w:t>
            </w:r>
          </w:p>
        </w:tc>
        <w:tc>
          <w:tcPr>
            <w:tcW w:w="359" w:type="pct"/>
            <w:noWrap w:val="0"/>
            <w:vAlign w:val="top"/>
          </w:tcPr>
          <w:p>
            <w:pPr>
              <w:rPr>
                <w:rFonts w:hint="eastAsia" w:ascii="宋体" w:hAnsi="宋体"/>
                <w:color w:val="000000"/>
                <w:szCs w:val="21"/>
              </w:rPr>
            </w:pPr>
            <w:r>
              <w:rPr>
                <w:rFonts w:hint="eastAsia" w:ascii="宋体" w:hAnsi="宋体"/>
                <w:color w:val="000000"/>
                <w:szCs w:val="21"/>
              </w:rPr>
              <w:t>2</w:t>
            </w:r>
          </w:p>
        </w:tc>
        <w:tc>
          <w:tcPr>
            <w:tcW w:w="617" w:type="pct"/>
            <w:gridSpan w:val="2"/>
            <w:noWrap w:val="0"/>
            <w:vAlign w:val="top"/>
          </w:tcPr>
          <w:p>
            <w:pPr>
              <w:rPr>
                <w:rFonts w:hint="eastAsia" w:ascii="宋体" w:hAnsi="宋体"/>
                <w:color w:val="000000"/>
                <w:szCs w:val="21"/>
              </w:rPr>
            </w:pPr>
            <w:r>
              <w:rPr>
                <w:rFonts w:hint="eastAsia" w:ascii="宋体" w:hAnsi="宋体"/>
                <w:color w:val="000000"/>
                <w:szCs w:val="21"/>
              </w:rPr>
              <w:t>专家打分</w:t>
            </w:r>
          </w:p>
        </w:tc>
      </w:tr>
    </w:tbl>
    <w:p>
      <w:pPr>
        <w:spacing w:line="600" w:lineRule="exact"/>
        <w:jc w:val="left"/>
        <w:rPr>
          <w:rFonts w:hint="eastAsia" w:ascii="宋体" w:hAnsi="宋体"/>
          <w:b/>
          <w:bCs/>
          <w:spacing w:val="-4"/>
          <w:sz w:val="24"/>
          <w:szCs w:val="21"/>
        </w:rPr>
      </w:pPr>
      <w:r>
        <w:rPr>
          <w:rFonts w:hint="eastAsia" w:ascii="宋体" w:hAnsi="宋体"/>
          <w:b/>
          <w:bCs/>
          <w:spacing w:val="-4"/>
          <w:sz w:val="24"/>
          <w:szCs w:val="21"/>
        </w:rPr>
        <w:t>三、商务需求</w:t>
      </w:r>
    </w:p>
    <w:p>
      <w:pPr>
        <w:spacing w:line="360" w:lineRule="auto"/>
        <w:ind w:firstLine="420" w:firstLineChars="200"/>
        <w:rPr>
          <w:rFonts w:hint="eastAsia" w:ascii="宋体" w:hAnsi="宋体"/>
          <w:szCs w:val="21"/>
        </w:rPr>
      </w:pPr>
      <w:r>
        <w:rPr>
          <w:rFonts w:hint="eastAsia" w:ascii="Times New Roman" w:hAnsi="Times New Roman"/>
        </w:rPr>
        <w:t>（一）</w:t>
      </w:r>
      <w:r>
        <w:rPr>
          <w:rFonts w:hint="eastAsia" w:ascii="宋体" w:hAnsi="宋体"/>
          <w:szCs w:val="21"/>
        </w:rPr>
        <w:t xml:space="preserve">服务期：2021年1月1日-2021年12月31日。 </w:t>
      </w:r>
    </w:p>
    <w:p>
      <w:pPr>
        <w:spacing w:line="360" w:lineRule="auto"/>
        <w:ind w:firstLine="420" w:firstLineChars="200"/>
        <w:rPr>
          <w:rFonts w:hint="eastAsia" w:ascii="宋体" w:hAnsi="宋体"/>
          <w:szCs w:val="21"/>
        </w:rPr>
      </w:pPr>
      <w:r>
        <w:rPr>
          <w:rFonts w:hint="eastAsia" w:ascii="宋体" w:hAnsi="宋体"/>
          <w:szCs w:val="21"/>
        </w:rPr>
        <w:t>（二）服务地点：深圳市审计局。</w:t>
      </w:r>
    </w:p>
    <w:p>
      <w:pPr>
        <w:spacing w:line="360" w:lineRule="auto"/>
        <w:ind w:firstLine="420" w:firstLineChars="200"/>
        <w:rPr>
          <w:rFonts w:hint="eastAsia" w:ascii="宋体" w:hAnsi="宋体"/>
          <w:szCs w:val="21"/>
        </w:rPr>
      </w:pPr>
      <w:r>
        <w:rPr>
          <w:rFonts w:hint="eastAsia" w:ascii="宋体" w:hAnsi="宋体"/>
          <w:szCs w:val="21"/>
        </w:rPr>
        <w:t>（三）报价要求</w:t>
      </w:r>
    </w:p>
    <w:p>
      <w:pPr>
        <w:spacing w:line="360" w:lineRule="auto"/>
        <w:ind w:firstLine="420" w:firstLineChars="200"/>
        <w:rPr>
          <w:rFonts w:hint="eastAsia" w:ascii="宋体" w:hAnsi="宋体"/>
          <w:szCs w:val="21"/>
        </w:rPr>
      </w:pPr>
      <w:r>
        <w:rPr>
          <w:rFonts w:hint="eastAsia" w:ascii="宋体" w:hAnsi="宋体"/>
          <w:szCs w:val="21"/>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360" w:lineRule="auto"/>
        <w:ind w:firstLine="420" w:firstLineChars="200"/>
        <w:rPr>
          <w:rFonts w:hint="eastAsia" w:ascii="宋体" w:hAnsi="宋体"/>
          <w:szCs w:val="21"/>
        </w:rPr>
      </w:pPr>
      <w:r>
        <w:rPr>
          <w:rFonts w:hint="eastAsia" w:ascii="宋体" w:hAnsi="宋体"/>
          <w:szCs w:val="21"/>
        </w:rPr>
        <w:t>2.投标供应商应当根据本企业的成本自行决定报价，但不得以低于其企业成本的报价投标。</w:t>
      </w:r>
    </w:p>
    <w:p>
      <w:pPr>
        <w:spacing w:line="360" w:lineRule="auto"/>
        <w:ind w:firstLine="420" w:firstLineChars="200"/>
        <w:rPr>
          <w:rFonts w:hint="eastAsia" w:ascii="宋体" w:hAnsi="宋体"/>
          <w:szCs w:val="21"/>
        </w:rPr>
      </w:pPr>
      <w:r>
        <w:rPr>
          <w:rFonts w:hint="eastAsia" w:ascii="宋体" w:hAnsi="宋体"/>
          <w:szCs w:val="21"/>
        </w:rPr>
        <w:t>3.投标供应商的报价不得超过项目预算金额。</w:t>
      </w:r>
    </w:p>
    <w:p>
      <w:pPr>
        <w:spacing w:line="360" w:lineRule="auto"/>
        <w:ind w:firstLine="420" w:firstLineChars="200"/>
        <w:rPr>
          <w:rFonts w:hint="eastAsia" w:ascii="宋体" w:hAnsi="宋体"/>
          <w:szCs w:val="21"/>
        </w:rPr>
      </w:pPr>
      <w:r>
        <w:rPr>
          <w:rFonts w:hint="eastAsia" w:ascii="宋体" w:hAnsi="宋体"/>
          <w:szCs w:val="21"/>
        </w:rPr>
        <w:t>4.投标供应商的报价，应当是本项目采购范围和采购文件及合同条款上所列的各项内容中所述的全部，不得以任何理由予以重复。</w:t>
      </w:r>
    </w:p>
    <w:p>
      <w:pPr>
        <w:spacing w:line="360" w:lineRule="auto"/>
        <w:ind w:firstLine="420" w:firstLineChars="200"/>
        <w:rPr>
          <w:rFonts w:hint="eastAsia" w:ascii="宋体" w:hAnsi="宋体"/>
          <w:szCs w:val="21"/>
        </w:rPr>
      </w:pPr>
      <w:r>
        <w:rPr>
          <w:rFonts w:hint="eastAsia" w:ascii="宋体" w:hAnsi="宋体"/>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360" w:lineRule="auto"/>
        <w:ind w:firstLine="420" w:firstLineChars="200"/>
        <w:rPr>
          <w:rFonts w:hint="eastAsia" w:ascii="宋体" w:hAnsi="宋体"/>
          <w:szCs w:val="21"/>
        </w:rPr>
      </w:pPr>
      <w:r>
        <w:rPr>
          <w:rFonts w:hint="eastAsia" w:ascii="宋体" w:hAnsi="宋体"/>
          <w:szCs w:val="21"/>
        </w:rPr>
        <w:t>6.投标供应商应先到项目地点踏勘以充分了解项目的位置、情况、道路及任何其它足以影响投标报价的情况，任何因忽视或误解项目情况而导致的索赔或服务期限延长申请将不获批准。</w:t>
      </w:r>
    </w:p>
    <w:p>
      <w:pPr>
        <w:spacing w:line="360" w:lineRule="auto"/>
        <w:ind w:firstLine="420" w:firstLineChars="200"/>
        <w:rPr>
          <w:rFonts w:hint="eastAsia" w:ascii="宋体" w:hAnsi="宋体"/>
          <w:szCs w:val="21"/>
        </w:rPr>
      </w:pPr>
      <w:r>
        <w:rPr>
          <w:rFonts w:hint="eastAsia" w:ascii="宋体" w:hAnsi="宋体"/>
          <w:szCs w:val="21"/>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360" w:lineRule="auto"/>
        <w:ind w:firstLine="420" w:firstLineChars="200"/>
        <w:rPr>
          <w:rFonts w:hint="eastAsia" w:ascii="宋体" w:hAnsi="宋体"/>
          <w:szCs w:val="21"/>
        </w:rPr>
      </w:pPr>
      <w:r>
        <w:rPr>
          <w:rFonts w:hint="eastAsia" w:ascii="宋体" w:hAnsi="宋体"/>
          <w:szCs w:val="21"/>
        </w:rPr>
        <w:t>（四）付款方式：分四次支付，每个季度初支付合同额的25%。</w:t>
      </w:r>
    </w:p>
    <w:p>
      <w:pPr>
        <w:spacing w:line="360" w:lineRule="auto"/>
        <w:ind w:firstLine="420" w:firstLineChars="200"/>
        <w:rPr>
          <w:rFonts w:ascii="Times New Roman" w:hAnsi="Times New Roman"/>
        </w:rPr>
      </w:pPr>
      <w:r>
        <w:rPr>
          <w:rFonts w:hint="eastAsia" w:ascii="宋体" w:hAnsi="宋体"/>
          <w:szCs w:val="21"/>
        </w:rPr>
        <w:t>（五）违约责任：中标公司必须严格按照相关法律法规做好招标文件的保密工作，不得向任何公司和个人泄露相关项目的招标资料及文件内容。如发生资料泄露事件，将依法追究相关责任。</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B63C3"/>
    <w:multiLevelType w:val="multilevel"/>
    <w:tmpl w:val="0A1B63C3"/>
    <w:lvl w:ilvl="0" w:tentative="0">
      <w:start w:val="1"/>
      <w:numFmt w:val="japaneseCounting"/>
      <w:lvlText w:val="（%1）"/>
      <w:lvlJc w:val="left"/>
      <w:pPr>
        <w:ind w:left="750" w:hanging="75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5365E2"/>
    <w:multiLevelType w:val="multilevel"/>
    <w:tmpl w:val="355365E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06122B"/>
    <w:multiLevelType w:val="multilevel"/>
    <w:tmpl w:val="4606122B"/>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79232B"/>
    <w:multiLevelType w:val="multilevel"/>
    <w:tmpl w:val="4779232B"/>
    <w:lvl w:ilvl="0" w:tentative="0">
      <w:start w:val="2"/>
      <w:numFmt w:val="japaneseCounting"/>
      <w:lvlText w:val="%1、"/>
      <w:lvlJc w:val="left"/>
      <w:pPr>
        <w:ind w:left="510" w:hanging="51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3159A9"/>
    <w:multiLevelType w:val="multilevel"/>
    <w:tmpl w:val="5D3159A9"/>
    <w:lvl w:ilvl="0" w:tentative="0">
      <w:start w:val="1"/>
      <w:numFmt w:val="decimal"/>
      <w:lvlText w:val="%1、"/>
      <w:lvlJc w:val="left"/>
      <w:pPr>
        <w:ind w:left="0" w:firstLine="0"/>
      </w:pPr>
      <w:rPr>
        <w:rFonts w:hint="eastAsia" w:ascii="宋体" w:hAnsi="宋体" w:eastAsia="宋体" w:cs="宋体"/>
      </w:rPr>
    </w:lvl>
    <w:lvl w:ilvl="1" w:tentative="0">
      <w:start w:val="1"/>
      <w:numFmt w:val="lowerLetter"/>
      <w:lvlText w:val="%2)"/>
      <w:lvlJc w:val="left"/>
      <w:pPr>
        <w:ind w:left="926" w:hanging="420"/>
      </w:pPr>
    </w:lvl>
    <w:lvl w:ilvl="2" w:tentative="0">
      <w:start w:val="1"/>
      <w:numFmt w:val="lowerRoman"/>
      <w:lvlText w:val="%3."/>
      <w:lvlJc w:val="right"/>
      <w:pPr>
        <w:ind w:left="1346" w:hanging="420"/>
      </w:pPr>
    </w:lvl>
    <w:lvl w:ilvl="3" w:tentative="0">
      <w:start w:val="1"/>
      <w:numFmt w:val="decimal"/>
      <w:lvlText w:val="%4."/>
      <w:lvlJc w:val="left"/>
      <w:pPr>
        <w:ind w:left="1766" w:hanging="420"/>
      </w:pPr>
    </w:lvl>
    <w:lvl w:ilvl="4" w:tentative="0">
      <w:start w:val="1"/>
      <w:numFmt w:val="lowerLetter"/>
      <w:lvlText w:val="%5)"/>
      <w:lvlJc w:val="left"/>
      <w:pPr>
        <w:ind w:left="2186" w:hanging="420"/>
      </w:pPr>
    </w:lvl>
    <w:lvl w:ilvl="5" w:tentative="0">
      <w:start w:val="1"/>
      <w:numFmt w:val="lowerRoman"/>
      <w:lvlText w:val="%6."/>
      <w:lvlJc w:val="right"/>
      <w:pPr>
        <w:ind w:left="2606" w:hanging="420"/>
      </w:pPr>
    </w:lvl>
    <w:lvl w:ilvl="6" w:tentative="0">
      <w:start w:val="1"/>
      <w:numFmt w:val="decimal"/>
      <w:lvlText w:val="%7."/>
      <w:lvlJc w:val="left"/>
      <w:pPr>
        <w:ind w:left="3026" w:hanging="420"/>
      </w:pPr>
    </w:lvl>
    <w:lvl w:ilvl="7" w:tentative="0">
      <w:start w:val="1"/>
      <w:numFmt w:val="lowerLetter"/>
      <w:lvlText w:val="%8)"/>
      <w:lvlJc w:val="left"/>
      <w:pPr>
        <w:ind w:left="3446" w:hanging="420"/>
      </w:pPr>
    </w:lvl>
    <w:lvl w:ilvl="8" w:tentative="0">
      <w:start w:val="1"/>
      <w:numFmt w:val="lowerRoman"/>
      <w:lvlText w:val="%9."/>
      <w:lvlJc w:val="right"/>
      <w:pPr>
        <w:ind w:left="3866" w:hanging="42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zI4MTJhNzcwYjEwZTA4YmEyZmE5ZTY3NDA1N2QifQ=="/>
  </w:docVars>
  <w:rsids>
    <w:rsidRoot w:val="545A47D7"/>
    <w:rsid w:val="545A47D7"/>
    <w:rsid w:val="6BBE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正文"/>
    <w:basedOn w:val="1"/>
    <w:qFormat/>
    <w:uiPriority w:val="0"/>
    <w:pPr>
      <w:spacing w:line="360" w:lineRule="auto"/>
      <w:ind w:firstLine="200" w:firstLineChars="200"/>
    </w:pPr>
    <w:rPr>
      <w:rFonts w:ascii="宋体" w:hAnsi="宋体"/>
      <w:kern w:val="0"/>
      <w:sz w:val="22"/>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4471</Words>
  <Characters>4708</Characters>
  <Lines>0</Lines>
  <Paragraphs>0</Paragraphs>
  <TotalTime>1</TotalTime>
  <ScaleCrop>false</ScaleCrop>
  <LinksUpToDate>false</LinksUpToDate>
  <CharactersWithSpaces>4723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2020-12-24T03:17:00Z</dcterms:created>
  <dc:creator>Administrator</dc:creator>
  <cp:lastModifiedBy>Yang 矒</cp:lastModifiedBy>
  <dcterms:modified xsi:type="dcterms:W3CDTF">2023-04-25T01:43:24Z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3A5278EAD2584F349DCFEBA45A744A84_13</vt:lpwstr>
  </property>
</Properties>
</file>