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rPr>
        <w:sectPr>
          <w:footerReference r:id="rId5" w:type="even"/>
          <w:type w:val="continuous"/>
          <w:pgSz w:w="11907" w:h="16840"/>
          <w:pgMar w:top="1134" w:right="1134" w:bottom="1134" w:left="1134" w:header="851" w:footer="1418" w:gutter="0"/>
          <w:cols w:space="720" w:num="1"/>
          <w:formProt w:val="0"/>
          <w:docGrid w:linePitch="579" w:charSpace="-842"/>
        </w:sectPr>
      </w:pPr>
    </w:p>
    <w:tbl>
      <w:tblPr>
        <w:tblStyle w:val="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10"/>
        <w:gridCol w:w="425"/>
        <w:gridCol w:w="1319"/>
        <w:gridCol w:w="2792"/>
        <w:gridCol w:w="1984"/>
        <w:gridCol w:w="453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850" w:type="dxa"/>
            <w:gridSpan w:val="8"/>
            <w:tcBorders>
              <w:top w:val="nil"/>
              <w:left w:val="nil"/>
              <w:bottom w:val="single" w:color="auto" w:sz="4" w:space="0"/>
              <w:right w:val="nil"/>
            </w:tcBorders>
            <w:vAlign w:val="center"/>
          </w:tcPr>
          <w:p>
            <w:pPr>
              <w:spacing w:line="240" w:lineRule="auto"/>
              <w:jc w:val="center"/>
              <w:rPr>
                <w:rFonts w:hint="eastAsia" w:ascii="方正小标宋简体" w:hAnsi="宋体" w:eastAsia="方正小标宋简体" w:cs="宋体"/>
                <w:bCs/>
                <w:kern w:val="0"/>
                <w:sz w:val="44"/>
                <w:szCs w:val="44"/>
              </w:rPr>
            </w:pPr>
            <w:bookmarkStart w:id="0" w:name="_GoBack"/>
            <w:r>
              <w:rPr>
                <w:rFonts w:hint="eastAsia" w:ascii="方正小标宋简体" w:hAnsi="宋体" w:eastAsia="方正小标宋简体" w:cs="宋体"/>
                <w:bCs/>
                <w:kern w:val="0"/>
                <w:sz w:val="44"/>
                <w:szCs w:val="44"/>
              </w:rPr>
              <w:t>《深圳市2016年度本级预算执行及其他财政收支审计工作报告》整改情况表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58" w:type="dxa"/>
            <w:vMerge w:val="restart"/>
            <w:tcBorders>
              <w:top w:val="single" w:color="auto" w:sz="4" w:space="0"/>
            </w:tcBorders>
            <w:vAlign w:val="center"/>
          </w:tcPr>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项目</w:t>
            </w:r>
          </w:p>
        </w:tc>
        <w:tc>
          <w:tcPr>
            <w:tcW w:w="1010" w:type="dxa"/>
            <w:vMerge w:val="restart"/>
            <w:tcBorders>
              <w:top w:val="single" w:color="auto" w:sz="4" w:space="0"/>
            </w:tcBorders>
            <w:vAlign w:val="center"/>
          </w:tcPr>
          <w:p>
            <w:pPr>
              <w:spacing w:line="240" w:lineRule="auto"/>
              <w:jc w:val="center"/>
              <w:rPr>
                <w:rFonts w:hint="eastAsia" w:ascii="宋体" w:hAnsi="宋体" w:eastAsia="仿宋_GB2312" w:cs="宋体"/>
                <w:b/>
                <w:bCs/>
                <w:color w:val="000000"/>
                <w:kern w:val="0"/>
                <w:sz w:val="22"/>
                <w:lang w:eastAsia="zh-CN"/>
              </w:rPr>
            </w:pPr>
            <w:r>
              <w:rPr>
                <w:rFonts w:hint="eastAsia" w:ascii="宋体" w:hAnsi="宋体" w:cs="宋体"/>
                <w:b/>
                <w:bCs/>
                <w:color w:val="000000"/>
                <w:kern w:val="0"/>
                <w:sz w:val="22"/>
              </w:rPr>
              <w:t>问题</w:t>
            </w:r>
          </w:p>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类别</w:t>
            </w:r>
          </w:p>
        </w:tc>
        <w:tc>
          <w:tcPr>
            <w:tcW w:w="425" w:type="dxa"/>
            <w:vMerge w:val="restart"/>
            <w:tcBorders>
              <w:top w:val="single" w:color="auto" w:sz="4" w:space="0"/>
            </w:tcBorders>
            <w:vAlign w:val="center"/>
          </w:tcPr>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111" w:type="dxa"/>
            <w:gridSpan w:val="2"/>
            <w:vMerge w:val="restart"/>
            <w:tcBorders>
              <w:top w:val="single" w:color="auto" w:sz="4" w:space="0"/>
            </w:tcBorders>
            <w:vAlign w:val="center"/>
          </w:tcPr>
          <w:p>
            <w:pPr>
              <w:spacing w:line="240" w:lineRule="auto"/>
              <w:jc w:val="center"/>
              <w:rPr>
                <w:rFonts w:hint="eastAsia" w:ascii="宋体" w:hAnsi="宋体" w:eastAsia="仿宋_GB2312" w:cs="宋体"/>
                <w:b/>
                <w:bCs/>
                <w:color w:val="000000"/>
                <w:kern w:val="0"/>
                <w:sz w:val="22"/>
                <w:lang w:eastAsia="zh-CN"/>
              </w:rPr>
            </w:pPr>
            <w:r>
              <w:rPr>
                <w:rFonts w:hint="eastAsia" w:ascii="宋体" w:hAnsi="宋体" w:cs="宋体"/>
                <w:b/>
                <w:bCs/>
                <w:color w:val="000000"/>
                <w:kern w:val="0"/>
                <w:sz w:val="22"/>
              </w:rPr>
              <w:t>审计工作报告</w:t>
            </w:r>
          </w:p>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问题内容</w:t>
            </w:r>
          </w:p>
        </w:tc>
        <w:tc>
          <w:tcPr>
            <w:tcW w:w="1984" w:type="dxa"/>
            <w:vMerge w:val="restart"/>
            <w:tcBorders>
              <w:top w:val="single" w:color="auto" w:sz="4" w:space="0"/>
            </w:tcBorders>
            <w:vAlign w:val="center"/>
          </w:tcPr>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问题责任单位</w:t>
            </w:r>
          </w:p>
        </w:tc>
        <w:tc>
          <w:tcPr>
            <w:tcW w:w="4536" w:type="dxa"/>
            <w:vMerge w:val="restart"/>
            <w:tcBorders>
              <w:top w:val="single" w:color="auto" w:sz="4" w:space="0"/>
            </w:tcBorders>
            <w:vAlign w:val="center"/>
          </w:tcPr>
          <w:p>
            <w:pPr>
              <w:spacing w:line="240" w:lineRule="auto"/>
              <w:jc w:val="center"/>
              <w:rPr>
                <w:rFonts w:ascii="宋体" w:hAnsi="宋体" w:cs="宋体"/>
                <w:b/>
                <w:bCs/>
                <w:color w:val="000000"/>
                <w:kern w:val="0"/>
                <w:sz w:val="22"/>
              </w:rPr>
            </w:pPr>
            <w:r>
              <w:rPr>
                <w:rFonts w:hint="eastAsia" w:ascii="宋体" w:hAnsi="宋体" w:cs="宋体"/>
                <w:b/>
                <w:bCs/>
                <w:color w:val="000000"/>
                <w:kern w:val="0"/>
                <w:sz w:val="22"/>
              </w:rPr>
              <w:t>整改采取的措施和效果</w:t>
            </w:r>
          </w:p>
        </w:tc>
        <w:tc>
          <w:tcPr>
            <w:tcW w:w="2126" w:type="dxa"/>
            <w:vMerge w:val="restart"/>
            <w:tcBorders>
              <w:top w:val="single" w:color="auto" w:sz="4" w:space="0"/>
            </w:tcBorders>
            <w:vAlign w:val="center"/>
          </w:tcPr>
          <w:p>
            <w:pPr>
              <w:spacing w:line="240" w:lineRule="auto"/>
              <w:jc w:val="center"/>
              <w:rPr>
                <w:rFonts w:ascii="宋体" w:hAnsi="宋体" w:cs="宋体"/>
                <w:b/>
                <w:bCs/>
                <w:kern w:val="0"/>
                <w:sz w:val="22"/>
              </w:rPr>
            </w:pPr>
            <w:r>
              <w:rPr>
                <w:rFonts w:hint="eastAsia" w:ascii="宋体" w:hAnsi="宋体" w:cs="宋体"/>
                <w:b/>
                <w:bCs/>
                <w:kern w:val="0"/>
                <w:sz w:val="22"/>
              </w:rPr>
              <w:t>整改结果（已整改/未整改/正在整改）请业务部门择一填写）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58" w:type="dxa"/>
            <w:vMerge w:val="continue"/>
            <w:vAlign w:val="center"/>
          </w:tcPr>
          <w:p>
            <w:pPr>
              <w:spacing w:line="240" w:lineRule="auto"/>
              <w:rPr>
                <w:rFonts w:ascii="宋体" w:hAnsi="宋体" w:cs="宋体"/>
                <w:b/>
                <w:bCs/>
                <w:color w:val="000000"/>
                <w:kern w:val="0"/>
                <w:sz w:val="22"/>
              </w:rPr>
            </w:pPr>
          </w:p>
        </w:tc>
        <w:tc>
          <w:tcPr>
            <w:tcW w:w="1010" w:type="dxa"/>
            <w:vMerge w:val="continue"/>
            <w:vAlign w:val="center"/>
          </w:tcPr>
          <w:p>
            <w:pPr>
              <w:spacing w:line="240" w:lineRule="auto"/>
              <w:rPr>
                <w:rFonts w:ascii="宋体" w:hAnsi="宋体" w:cs="宋体"/>
                <w:b/>
                <w:bCs/>
                <w:color w:val="000000"/>
                <w:kern w:val="0"/>
                <w:sz w:val="22"/>
              </w:rPr>
            </w:pPr>
          </w:p>
        </w:tc>
        <w:tc>
          <w:tcPr>
            <w:tcW w:w="425" w:type="dxa"/>
            <w:vMerge w:val="continue"/>
            <w:vAlign w:val="center"/>
          </w:tcPr>
          <w:p>
            <w:pPr>
              <w:spacing w:line="240" w:lineRule="auto"/>
              <w:rPr>
                <w:rFonts w:ascii="宋体" w:hAnsi="宋体" w:cs="宋体"/>
                <w:b/>
                <w:bCs/>
                <w:color w:val="000000"/>
                <w:kern w:val="0"/>
                <w:sz w:val="22"/>
              </w:rPr>
            </w:pPr>
          </w:p>
        </w:tc>
        <w:tc>
          <w:tcPr>
            <w:tcW w:w="4111" w:type="dxa"/>
            <w:gridSpan w:val="2"/>
            <w:vMerge w:val="continue"/>
            <w:vAlign w:val="center"/>
          </w:tcPr>
          <w:p>
            <w:pPr>
              <w:spacing w:line="240" w:lineRule="auto"/>
              <w:rPr>
                <w:rFonts w:ascii="宋体" w:hAnsi="宋体" w:cs="宋体"/>
                <w:b/>
                <w:bCs/>
                <w:color w:val="000000"/>
                <w:kern w:val="0"/>
                <w:sz w:val="22"/>
              </w:rPr>
            </w:pPr>
          </w:p>
        </w:tc>
        <w:tc>
          <w:tcPr>
            <w:tcW w:w="1984" w:type="dxa"/>
            <w:vMerge w:val="continue"/>
            <w:vAlign w:val="center"/>
          </w:tcPr>
          <w:p>
            <w:pPr>
              <w:spacing w:line="240" w:lineRule="auto"/>
              <w:rPr>
                <w:rFonts w:ascii="宋体" w:hAnsi="宋体" w:cs="宋体"/>
                <w:b/>
                <w:bCs/>
                <w:color w:val="000000"/>
                <w:kern w:val="0"/>
                <w:sz w:val="22"/>
              </w:rPr>
            </w:pPr>
          </w:p>
        </w:tc>
        <w:tc>
          <w:tcPr>
            <w:tcW w:w="4536" w:type="dxa"/>
            <w:vMerge w:val="continue"/>
            <w:vAlign w:val="center"/>
          </w:tcPr>
          <w:p>
            <w:pPr>
              <w:spacing w:line="240" w:lineRule="auto"/>
              <w:rPr>
                <w:rFonts w:ascii="宋体" w:hAnsi="宋体" w:cs="宋体"/>
                <w:b/>
                <w:bCs/>
                <w:color w:val="000000"/>
                <w:kern w:val="0"/>
                <w:sz w:val="22"/>
              </w:rPr>
            </w:pPr>
          </w:p>
        </w:tc>
        <w:tc>
          <w:tcPr>
            <w:tcW w:w="2126" w:type="dxa"/>
            <w:vMerge w:val="continue"/>
            <w:vAlign w:val="center"/>
          </w:tcPr>
          <w:p>
            <w:pPr>
              <w:spacing w:line="240" w:lineRule="auto"/>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一、财政管理审计情况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（一）市本级财政管理审计</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对外股权投资管理不规范</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市财政委未将引导基金实际出资的4.50亿元在账上登记为政府对外股权投资，也未将超付出资所产生的利息1,752.53万元收缴国库。</w:t>
            </w:r>
          </w:p>
        </w:tc>
        <w:tc>
          <w:tcPr>
            <w:tcW w:w="1984"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深圳市财政委员会</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市财政委于2017年8月14日收到市中小企业服务署上缴的利息1752.53万元。</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市财政委已将首期出资款4.5亿元确认为政府对外股权投资,并补记在总预算账中。</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财政实时监控管理不到位</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市财政委未能有效监管金财核心系统，未将市规划国土委的国有土地使用权出让收入和市中级人民法院的诉讼费两项非税收入纳入“深圳市非税收入征收管理系统”统一管理。</w:t>
            </w:r>
          </w:p>
        </w:tc>
        <w:tc>
          <w:tcPr>
            <w:tcW w:w="1984"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深圳市财政委员会</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市财政委于8月2日召集15家预算单位及其主管部门，对2016年的违规支付行为及审计意见进行现场通报；</w:t>
            </w:r>
            <w:r>
              <w:rPr>
                <w:rFonts w:hint="eastAsia" w:ascii="仿宋_GB2312" w:hAnsi="宋体" w:cs="宋体"/>
                <w:b/>
                <w:bCs/>
                <w:kern w:val="0"/>
                <w:sz w:val="22"/>
              </w:rPr>
              <w:t>二是</w:t>
            </w:r>
            <w:r>
              <w:rPr>
                <w:rFonts w:hint="eastAsia" w:ascii="仿宋_GB2312" w:hAnsi="宋体" w:cs="宋体"/>
                <w:kern w:val="0"/>
                <w:sz w:val="22"/>
              </w:rPr>
              <w:t>要求各相关单位于9月1日前进行全面自查并向市财政委提交整改报告。对违规预算单位进行相关管理制度的再培训；</w:t>
            </w:r>
            <w:r>
              <w:rPr>
                <w:rFonts w:hint="eastAsia" w:ascii="仿宋_GB2312" w:hAnsi="宋体" w:cs="宋体"/>
                <w:b/>
                <w:bCs/>
                <w:kern w:val="0"/>
                <w:sz w:val="22"/>
              </w:rPr>
              <w:t>三是</w:t>
            </w:r>
            <w:r>
              <w:rPr>
                <w:rFonts w:hint="eastAsia" w:ascii="仿宋_GB2312" w:hAnsi="宋体" w:cs="宋体"/>
                <w:kern w:val="0"/>
                <w:sz w:val="22"/>
              </w:rPr>
              <w:t>市财政委及时将更新的预算单位银行账户录入金财支付系统，达到系统自动拦截违规支付行为的目的。</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市财政委已将国有土地使用权出让收入、诉讼费收入纳入非税系统管理，并分别于6月底和8月底正式上线运行，开始上线运行。</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（一）市本级财政管理审计</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5</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部门决算报表数据不准确</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部分单位填报数据不准确。市财政委在汇总审核市本级部门决算报表时，未能及时纠正各预算单位部门决算中的错误。</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深圳市财政委员会</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市财政委将在报表审核环节中进一步加强人工审核的力度，对所填数据与批复数据实行一一比对，并定期组织预算单位进行业务讲解和系统操作培训，做好技术支持及咨询解答工作。</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8" w:type="dxa"/>
            <w:vMerge w:val="continue"/>
            <w:shd w:val="clear" w:color="auto" w:fill="auto"/>
            <w:vAlign w:val="center"/>
          </w:tcPr>
          <w:p>
            <w:pPr>
              <w:spacing w:line="240" w:lineRule="auto"/>
              <w:rPr>
                <w:rFonts w:hint="eastAsia" w:ascii="仿宋_GB2312" w:hAnsi="宋体" w:cs="宋体"/>
                <w:b/>
                <w:bCs/>
                <w:color w:val="000000"/>
                <w:kern w:val="0"/>
                <w:sz w:val="22"/>
              </w:rPr>
            </w:pPr>
          </w:p>
        </w:tc>
        <w:tc>
          <w:tcPr>
            <w:tcW w:w="1010" w:type="dxa"/>
            <w:vMerge w:val="restart"/>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（二）区级财政管理审计情况</w:t>
            </w:r>
          </w:p>
        </w:tc>
        <w:tc>
          <w:tcPr>
            <w:tcW w:w="425" w:type="dxa"/>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6</w:t>
            </w:r>
          </w:p>
        </w:tc>
        <w:tc>
          <w:tcPr>
            <w:tcW w:w="1319" w:type="dxa"/>
            <w:vMerge w:val="restart"/>
            <w:shd w:val="clear" w:color="auto" w:fill="auto"/>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预算编制不够细化完整</w:t>
            </w:r>
          </w:p>
        </w:tc>
        <w:tc>
          <w:tcPr>
            <w:tcW w:w="2792" w:type="dxa"/>
            <w:shd w:val="clear" w:color="auto" w:fill="auto"/>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坪山区未按《预算法》要求编制国有资本经营预算。</w:t>
            </w:r>
          </w:p>
        </w:tc>
        <w:tc>
          <w:tcPr>
            <w:tcW w:w="1984" w:type="dxa"/>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坪山区人民政府</w:t>
            </w:r>
          </w:p>
        </w:tc>
        <w:tc>
          <w:tcPr>
            <w:tcW w:w="4536" w:type="dxa"/>
            <w:shd w:val="clear" w:color="000000" w:fill="FFFFFF"/>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坪山区已按照《预算法》要求，完成了2017年度国有资本经营预算编制，报区人大批准后实施，国有资本经营预算作为重要组成部分</w:t>
            </w:r>
            <w:r>
              <w:rPr>
                <w:rFonts w:hint="eastAsia" w:ascii="仿宋_GB2312" w:hAnsi="宋体" w:cs="宋体"/>
                <w:color w:val="000000"/>
                <w:kern w:val="0"/>
                <w:sz w:val="22"/>
                <w:lang w:eastAsia="zh-CN"/>
              </w:rPr>
              <w:t>已</w:t>
            </w:r>
            <w:r>
              <w:rPr>
                <w:rFonts w:hint="eastAsia" w:ascii="仿宋_GB2312" w:hAnsi="宋体" w:cs="宋体"/>
                <w:color w:val="000000"/>
                <w:kern w:val="0"/>
                <w:sz w:val="22"/>
              </w:rPr>
              <w:t>纳入政府预算管理。</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7</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龙华区2015年度财政预算编制有7.88亿元未细化至具体的项目和单位，未下达给区属部门单位。</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龙华区人民政府</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龙华区已将产业专项资金、就业创业专项资金、人才工作专项资金和文化事业发展专项经费纳入区部门预算安排并细化至各相关业务主管单位和项目；</w:t>
            </w:r>
            <w:r>
              <w:rPr>
                <w:rFonts w:hint="eastAsia" w:ascii="仿宋_GB2312" w:hAnsi="宋体" w:cs="宋体"/>
                <w:b/>
                <w:bCs/>
                <w:color w:val="000000"/>
                <w:kern w:val="0"/>
                <w:sz w:val="22"/>
              </w:rPr>
              <w:t>二是</w:t>
            </w:r>
            <w:r>
              <w:rPr>
                <w:rFonts w:hint="eastAsia" w:ascii="仿宋_GB2312" w:hAnsi="宋体" w:cs="宋体"/>
                <w:color w:val="000000"/>
                <w:kern w:val="0"/>
                <w:sz w:val="22"/>
              </w:rPr>
              <w:t>自2017年起，将财政专项资金项目、政府性基金项目和政府投资项目分类分步纳入部门预算管理，进一步减少代编预算规模。</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（二）区级财政管理审计情况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8</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结余资金未及时盘活使用</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龙华街道办2015年6月收到基层专项经费补助，截至2016年5月底仍有4,428万元沉淀未使用。</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龙华区人民政府</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龙华区2016 年5月完成街道办国库集中支付改革，街道办相关项目全部纳入国库集中支付，基层专项经费补助项目资金已收回。</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9</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宝安区2016年初对2014年及以前年度财政结余资金2.05亿元制定了盘活方案，至2016年底结余资金仍未安排使用。</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宝安区人民政府</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2017年，宝安区计划盘活财政存量资金25亿元，由区财政统筹安排；</w:t>
            </w:r>
            <w:r>
              <w:rPr>
                <w:rFonts w:hint="eastAsia" w:ascii="仿宋_GB2312" w:hAnsi="宋体" w:cs="宋体"/>
                <w:b/>
                <w:bCs/>
                <w:kern w:val="0"/>
                <w:sz w:val="22"/>
              </w:rPr>
              <w:t>二是</w:t>
            </w:r>
            <w:r>
              <w:rPr>
                <w:rFonts w:hint="eastAsia" w:ascii="仿宋_GB2312" w:hAnsi="宋体" w:cs="宋体"/>
                <w:kern w:val="0"/>
                <w:sz w:val="22"/>
              </w:rPr>
              <w:t>区财政局与相关单位充分沟通，在明确资金具体使用情况、核查核对数据后，于2017年4月6日将2017年可盘活存量资金25.4亿元调入一般公共预算统筹使用。</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58" w:type="dxa"/>
            <w:vMerge w:val="continue"/>
            <w:vAlign w:val="center"/>
          </w:tcPr>
          <w:p>
            <w:pPr>
              <w:spacing w:line="240" w:lineRule="auto"/>
              <w:jc w:val="center"/>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（二）区级财政管理审计情况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10</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政府投资计划执行进度缓慢</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宝安区2015年当年安排政府投资建设计划项目资金74.07亿元，至2015年底财政实际支付资金22.73亿元，政府投资项目计划整体执行进度缓慢。</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宝安区人民政府</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宝安区发改局严格按照项目进度安排建设资金，通过调整计划和预安排计划解决重点项目和急需上马项目资金保障，简化审批，提速提效，加快进度；</w:t>
            </w:r>
            <w:r>
              <w:rPr>
                <w:rFonts w:hint="eastAsia" w:ascii="仿宋_GB2312" w:hAnsi="宋体" w:cs="宋体"/>
                <w:b/>
                <w:bCs/>
                <w:kern w:val="0"/>
                <w:sz w:val="22"/>
              </w:rPr>
              <w:t>二是</w:t>
            </w:r>
            <w:r>
              <w:rPr>
                <w:rFonts w:hint="eastAsia" w:ascii="仿宋_GB2312" w:hAnsi="宋体" w:cs="宋体"/>
                <w:kern w:val="0"/>
                <w:sz w:val="22"/>
              </w:rPr>
              <w:t>强化资金支付考核，定期梳理分析项目资金拨付情况并进行排名通报和约谈，督促各单位加快项目建设速度；</w:t>
            </w:r>
            <w:r>
              <w:rPr>
                <w:rFonts w:hint="eastAsia" w:ascii="仿宋_GB2312" w:hAnsi="宋体" w:cs="宋体"/>
                <w:b/>
                <w:bCs/>
                <w:kern w:val="0"/>
                <w:sz w:val="22"/>
              </w:rPr>
              <w:t>三是</w:t>
            </w:r>
            <w:r>
              <w:rPr>
                <w:rFonts w:hint="eastAsia" w:ascii="仿宋_GB2312" w:hAnsi="宋体" w:cs="宋体"/>
                <w:kern w:val="0"/>
                <w:sz w:val="22"/>
              </w:rPr>
              <w:t>区住建局主动对接提供服务进一步压缩行政审批时限，试行协议监管服务模式，变“审批监管”为“提供质量安全服务”，加快政府投资项目的推进。</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一、财政管理审计情况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(三)街道财政财务收支审计情况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11</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非税收入管理不规范</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1个街道的非税收入1,706.70万元未纳入预算管理；</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坪山区坑梓街道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2016年1月起，坑梓街道将非税收入1，706.7万元统一上缴区财政国库，纳入预算管理。</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12</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1个街道的非税收入110.07万元未及时上交财政。</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大鹏新区葵涌街道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葵涌办事处已于2017年3月29日将非税收入110.07万元上缴区财政。</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13</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预算支出管理不规范</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1个街道74个项目预算执行率低于50%，涉及资金2,226.18万元；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坪山区坑梓街道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2015年及2016年，坑梓街道加强了部门预算执行的督促和管理，执行率明显提高。</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58" w:type="dxa"/>
            <w:vMerge w:val="continue"/>
            <w:shd w:val="clear" w:color="auto" w:fill="auto"/>
            <w:vAlign w:val="center"/>
          </w:tcPr>
          <w:p>
            <w:pPr>
              <w:spacing w:line="240" w:lineRule="auto"/>
              <w:rPr>
                <w:rFonts w:hint="eastAsia" w:ascii="仿宋_GB2312" w:hAnsi="宋体" w:cs="宋体"/>
                <w:b/>
                <w:bCs/>
                <w:color w:val="000000"/>
                <w:kern w:val="0"/>
                <w:sz w:val="22"/>
              </w:rPr>
            </w:pPr>
          </w:p>
        </w:tc>
        <w:tc>
          <w:tcPr>
            <w:tcW w:w="1010" w:type="dxa"/>
            <w:vMerge w:val="continue"/>
            <w:shd w:val="clear" w:color="auto" w:fill="auto"/>
            <w:vAlign w:val="center"/>
          </w:tcPr>
          <w:p>
            <w:pPr>
              <w:spacing w:line="240" w:lineRule="auto"/>
              <w:rPr>
                <w:rFonts w:hint="eastAsia" w:ascii="仿宋_GB2312" w:hAnsi="宋体" w:cs="宋体"/>
                <w:color w:val="000000"/>
                <w:kern w:val="0"/>
                <w:sz w:val="22"/>
              </w:rPr>
            </w:pPr>
          </w:p>
        </w:tc>
        <w:tc>
          <w:tcPr>
            <w:tcW w:w="425" w:type="dxa"/>
            <w:vMerge w:val="restart"/>
            <w:shd w:val="clear" w:color="auto" w:fill="auto"/>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14</w:t>
            </w:r>
          </w:p>
        </w:tc>
        <w:tc>
          <w:tcPr>
            <w:tcW w:w="1319" w:type="dxa"/>
            <w:vMerge w:val="continue"/>
            <w:shd w:val="clear" w:color="auto" w:fill="auto"/>
            <w:vAlign w:val="center"/>
          </w:tcPr>
          <w:p>
            <w:pPr>
              <w:spacing w:line="240" w:lineRule="auto"/>
              <w:rPr>
                <w:rFonts w:hint="eastAsia" w:ascii="仿宋_GB2312" w:hAnsi="宋体" w:cs="宋体"/>
                <w:color w:val="000000"/>
                <w:kern w:val="0"/>
                <w:sz w:val="22"/>
              </w:rPr>
            </w:pPr>
          </w:p>
        </w:tc>
        <w:tc>
          <w:tcPr>
            <w:tcW w:w="2792" w:type="dxa"/>
            <w:vMerge w:val="restart"/>
            <w:shd w:val="clear" w:color="auto" w:fill="auto"/>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2个街道虚列支出、无预算或超预算支出用于人员经费、小型工程款、慰问金和慰问品等，涉及资金2,315.05万元。</w:t>
            </w:r>
          </w:p>
        </w:tc>
        <w:tc>
          <w:tcPr>
            <w:tcW w:w="1984" w:type="dxa"/>
            <w:vMerge w:val="restart"/>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坪山区坑梓街道</w:t>
            </w:r>
          </w:p>
        </w:tc>
        <w:tc>
          <w:tcPr>
            <w:tcW w:w="4536" w:type="dxa"/>
            <w:shd w:val="clear" w:color="000000" w:fill="FFFFFF"/>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严格预算编制和执行管理，严格部门预算执行资金审批、拨付程序，对没有预算，不符合财务制度规定的支出一律不得列支和报销；</w:t>
            </w:r>
            <w:r>
              <w:rPr>
                <w:rFonts w:hint="eastAsia" w:ascii="仿宋_GB2312" w:hAnsi="宋体" w:cs="宋体"/>
                <w:b/>
                <w:bCs/>
                <w:kern w:val="0"/>
                <w:sz w:val="22"/>
              </w:rPr>
              <w:t>二是</w:t>
            </w:r>
            <w:r>
              <w:rPr>
                <w:rFonts w:hint="eastAsia" w:ascii="仿宋_GB2312" w:hAnsi="宋体" w:cs="宋体"/>
                <w:kern w:val="0"/>
                <w:sz w:val="22"/>
              </w:rPr>
              <w:t>严肃财经纪律，严格内部财务管理制度，积极开展内部自查自纠，及时发现和纠正问题；</w:t>
            </w:r>
            <w:r>
              <w:rPr>
                <w:rFonts w:hint="eastAsia" w:ascii="仿宋_GB2312" w:hAnsi="宋体" w:cs="宋体"/>
                <w:b/>
                <w:bCs/>
                <w:kern w:val="0"/>
                <w:sz w:val="22"/>
              </w:rPr>
              <w:t>三是</w:t>
            </w:r>
            <w:r>
              <w:rPr>
                <w:rFonts w:hint="eastAsia" w:ascii="仿宋_GB2312" w:hAnsi="宋体" w:cs="宋体"/>
                <w:kern w:val="0"/>
                <w:sz w:val="22"/>
              </w:rPr>
              <w:t>建立和完善规范、高效、安全的财务管理模式，多次组织相关人员进行预算编制、预算执行、国库资金管理等相关内容的培训。</w:t>
            </w:r>
          </w:p>
        </w:tc>
        <w:tc>
          <w:tcPr>
            <w:tcW w:w="2126" w:type="dxa"/>
            <w:vMerge w:val="restart"/>
            <w:shd w:val="clear" w:color="000000" w:fill="FFFFFF"/>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8" w:type="dxa"/>
            <w:vMerge w:val="continue"/>
            <w:shd w:val="clear" w:color="auto" w:fill="auto"/>
            <w:vAlign w:val="center"/>
          </w:tcPr>
          <w:p>
            <w:pPr>
              <w:spacing w:line="240" w:lineRule="auto"/>
              <w:rPr>
                <w:rFonts w:hint="eastAsia" w:ascii="仿宋_GB2312" w:hAnsi="宋体" w:cs="宋体"/>
                <w:b/>
                <w:bCs/>
                <w:color w:val="000000"/>
                <w:kern w:val="0"/>
                <w:sz w:val="22"/>
              </w:rPr>
            </w:pPr>
          </w:p>
        </w:tc>
        <w:tc>
          <w:tcPr>
            <w:tcW w:w="1010" w:type="dxa"/>
            <w:vMerge w:val="continue"/>
            <w:shd w:val="clear" w:color="auto" w:fill="auto"/>
            <w:vAlign w:val="center"/>
          </w:tcPr>
          <w:p>
            <w:pPr>
              <w:spacing w:line="240" w:lineRule="auto"/>
              <w:rPr>
                <w:rFonts w:hint="eastAsia" w:ascii="仿宋_GB2312" w:hAnsi="宋体" w:cs="宋体"/>
                <w:color w:val="000000"/>
                <w:kern w:val="0"/>
                <w:sz w:val="22"/>
              </w:rPr>
            </w:pPr>
          </w:p>
        </w:tc>
        <w:tc>
          <w:tcPr>
            <w:tcW w:w="425" w:type="dxa"/>
            <w:vMerge w:val="continue"/>
            <w:shd w:val="clear" w:color="auto" w:fill="auto"/>
            <w:vAlign w:val="center"/>
          </w:tcPr>
          <w:p>
            <w:pPr>
              <w:spacing w:line="240" w:lineRule="auto"/>
              <w:rPr>
                <w:rFonts w:hint="eastAsia" w:ascii="仿宋_GB2312" w:hAnsi="宋体" w:cs="宋体"/>
                <w:kern w:val="0"/>
                <w:sz w:val="22"/>
              </w:rPr>
            </w:pPr>
          </w:p>
        </w:tc>
        <w:tc>
          <w:tcPr>
            <w:tcW w:w="1319" w:type="dxa"/>
            <w:vMerge w:val="continue"/>
            <w:shd w:val="clear" w:color="auto" w:fill="auto"/>
            <w:vAlign w:val="center"/>
          </w:tcPr>
          <w:p>
            <w:pPr>
              <w:spacing w:line="240" w:lineRule="auto"/>
              <w:rPr>
                <w:rFonts w:hint="eastAsia" w:ascii="仿宋_GB2312" w:hAnsi="宋体" w:cs="宋体"/>
                <w:color w:val="000000"/>
                <w:kern w:val="0"/>
                <w:sz w:val="22"/>
              </w:rPr>
            </w:pPr>
          </w:p>
        </w:tc>
        <w:tc>
          <w:tcPr>
            <w:tcW w:w="2792" w:type="dxa"/>
            <w:vMerge w:val="continue"/>
            <w:shd w:val="clear" w:color="auto" w:fill="auto"/>
            <w:vAlign w:val="center"/>
          </w:tcPr>
          <w:p>
            <w:pPr>
              <w:spacing w:line="240" w:lineRule="auto"/>
              <w:rPr>
                <w:rFonts w:hint="eastAsia" w:ascii="仿宋_GB2312" w:hAnsi="宋体" w:cs="宋体"/>
                <w:color w:val="000000"/>
                <w:kern w:val="0"/>
                <w:sz w:val="22"/>
              </w:rPr>
            </w:pPr>
          </w:p>
        </w:tc>
        <w:tc>
          <w:tcPr>
            <w:tcW w:w="1984" w:type="dxa"/>
            <w:vMerge w:val="continue"/>
            <w:shd w:val="clear" w:color="auto" w:fill="auto"/>
            <w:vAlign w:val="center"/>
          </w:tcPr>
          <w:p>
            <w:pPr>
              <w:spacing w:line="240" w:lineRule="auto"/>
              <w:rPr>
                <w:rFonts w:hint="eastAsia" w:ascii="仿宋_GB2312" w:hAnsi="宋体" w:cs="宋体"/>
                <w:color w:val="000000"/>
                <w:kern w:val="0"/>
                <w:sz w:val="22"/>
              </w:rPr>
            </w:pPr>
          </w:p>
        </w:tc>
        <w:tc>
          <w:tcPr>
            <w:tcW w:w="4536" w:type="dxa"/>
            <w:shd w:val="clear" w:color="000000" w:fill="FFFFFF"/>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坑梓街道办责令相关人员退还慰问金28500元，上缴区财政国库。</w:t>
            </w:r>
            <w:r>
              <w:rPr>
                <w:rFonts w:hint="eastAsia" w:ascii="仿宋_GB2312" w:hAnsi="宋体" w:cs="宋体"/>
                <w:b/>
                <w:bCs/>
                <w:kern w:val="0"/>
                <w:sz w:val="22"/>
              </w:rPr>
              <w:t>二是</w:t>
            </w:r>
            <w:r>
              <w:rPr>
                <w:rFonts w:hint="eastAsia" w:ascii="仿宋_GB2312" w:hAnsi="宋体" w:cs="宋体"/>
                <w:kern w:val="0"/>
                <w:sz w:val="22"/>
              </w:rPr>
              <w:t>将严格执行上级组织部门核定的社区工作站人员配备标准和工资待遇，严格执行组织部门核定的社区工作站人员配备标准和工资标准，对超额人员进行了分流安置。</w:t>
            </w:r>
          </w:p>
        </w:tc>
        <w:tc>
          <w:tcPr>
            <w:tcW w:w="2126" w:type="dxa"/>
            <w:vMerge w:val="continue"/>
            <w:vAlign w:val="center"/>
          </w:tcPr>
          <w:p>
            <w:pPr>
              <w:spacing w:line="240" w:lineRule="auto"/>
              <w:rPr>
                <w:rFonts w:hint="eastAsia" w:ascii="仿宋_GB2312"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58" w:type="dxa"/>
            <w:vMerge w:val="continue"/>
            <w:shd w:val="clear" w:color="auto" w:fill="auto"/>
            <w:vAlign w:val="center"/>
          </w:tcPr>
          <w:p>
            <w:pPr>
              <w:spacing w:line="240" w:lineRule="auto"/>
              <w:rPr>
                <w:rFonts w:hint="eastAsia" w:ascii="仿宋_GB2312" w:hAnsi="宋体" w:cs="宋体"/>
                <w:b/>
                <w:bCs/>
                <w:color w:val="000000"/>
                <w:kern w:val="0"/>
                <w:sz w:val="22"/>
              </w:rPr>
            </w:pPr>
          </w:p>
        </w:tc>
        <w:tc>
          <w:tcPr>
            <w:tcW w:w="1010" w:type="dxa"/>
            <w:vMerge w:val="continue"/>
            <w:shd w:val="clear" w:color="auto" w:fill="auto"/>
            <w:vAlign w:val="center"/>
          </w:tcPr>
          <w:p>
            <w:pPr>
              <w:spacing w:line="240" w:lineRule="auto"/>
              <w:rPr>
                <w:rFonts w:hint="eastAsia" w:ascii="仿宋_GB2312" w:hAnsi="宋体" w:cs="宋体"/>
                <w:color w:val="000000"/>
                <w:kern w:val="0"/>
                <w:sz w:val="22"/>
              </w:rPr>
            </w:pPr>
          </w:p>
        </w:tc>
        <w:tc>
          <w:tcPr>
            <w:tcW w:w="425" w:type="dxa"/>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15</w:t>
            </w:r>
          </w:p>
        </w:tc>
        <w:tc>
          <w:tcPr>
            <w:tcW w:w="1319" w:type="dxa"/>
            <w:vMerge w:val="continue"/>
            <w:shd w:val="clear" w:color="auto" w:fill="auto"/>
            <w:vAlign w:val="center"/>
          </w:tcPr>
          <w:p>
            <w:pPr>
              <w:spacing w:line="240" w:lineRule="auto"/>
              <w:rPr>
                <w:rFonts w:hint="eastAsia" w:ascii="仿宋_GB2312" w:hAnsi="宋体" w:cs="宋体"/>
                <w:color w:val="000000"/>
                <w:kern w:val="0"/>
                <w:sz w:val="22"/>
              </w:rPr>
            </w:pPr>
          </w:p>
        </w:tc>
        <w:tc>
          <w:tcPr>
            <w:tcW w:w="2792" w:type="dxa"/>
            <w:vMerge w:val="continue"/>
            <w:shd w:val="clear" w:color="auto" w:fill="auto"/>
            <w:vAlign w:val="center"/>
          </w:tcPr>
          <w:p>
            <w:pPr>
              <w:spacing w:line="240" w:lineRule="auto"/>
              <w:rPr>
                <w:rFonts w:hint="eastAsia" w:ascii="仿宋_GB2312" w:hAnsi="宋体" w:cs="宋体"/>
                <w:color w:val="000000"/>
                <w:kern w:val="0"/>
                <w:sz w:val="22"/>
              </w:rPr>
            </w:pPr>
          </w:p>
        </w:tc>
        <w:tc>
          <w:tcPr>
            <w:tcW w:w="1984" w:type="dxa"/>
            <w:shd w:val="clear" w:color="auto" w:fill="auto"/>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龙岗区平湖街道</w:t>
            </w:r>
          </w:p>
        </w:tc>
        <w:tc>
          <w:tcPr>
            <w:tcW w:w="4536" w:type="dxa"/>
            <w:shd w:val="clear" w:color="000000" w:fill="FFFFFF"/>
            <w:vAlign w:val="center"/>
          </w:tcPr>
          <w:p>
            <w:pPr>
              <w:spacing w:line="240" w:lineRule="auto"/>
              <w:rPr>
                <w:rFonts w:hint="eastAsia" w:ascii="仿宋_GB2312" w:hAnsi="宋体" w:cs="宋体"/>
                <w:kern w:val="0"/>
                <w:sz w:val="22"/>
              </w:rPr>
            </w:pPr>
            <w:r>
              <w:rPr>
                <w:rFonts w:hint="eastAsia" w:ascii="仿宋_GB2312" w:hAnsi="宋体" w:cs="宋体"/>
                <w:kern w:val="0"/>
                <w:sz w:val="22"/>
              </w:rPr>
              <w:t>该问题已于审计期间进行整改，于2016年7月将虚列支出的341.04万元作调减暂存款并增加结余的调账处理。2015年9月实行国库集中支付后此类问题没再发生。</w:t>
            </w:r>
          </w:p>
        </w:tc>
        <w:tc>
          <w:tcPr>
            <w:tcW w:w="2126" w:type="dxa"/>
            <w:shd w:val="clear" w:color="000000" w:fill="FFFFFF"/>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(三)街道财政财务收支审计情况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16</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内部控制管理不到位</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1个街道18项小型工程未以公开招标的方式确定施工单位；</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罗湖区莲塘街道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2016年6月已修订《莲塘街道建设工程（政府集中采购）招投标管理办法》、《莲塘街道建设工程项目实施管理办法》、《莲塘街道基建工程管理办法》，莲塘街道将严格按照新修订的制度执行，杜绝未公开招标确定施工单位等情况。</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17</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2个街道有部分工程项目付款审批手续不全；</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大鹏新区葵涌街道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重新修订完善《葵涌办事处财务管理规定》。于2017年9月20日印发了《关于印发〈大鹏新区葵涌办事处财务管理规定〉的通知》，要求各单位严格进行；</w:t>
            </w:r>
            <w:r>
              <w:rPr>
                <w:rFonts w:hint="eastAsia" w:ascii="仿宋_GB2312" w:hAnsi="宋体" w:cs="宋体"/>
                <w:b/>
                <w:bCs/>
                <w:color w:val="000000"/>
                <w:kern w:val="0"/>
                <w:sz w:val="22"/>
              </w:rPr>
              <w:t>二是</w:t>
            </w:r>
            <w:r>
              <w:rPr>
                <w:rFonts w:hint="eastAsia" w:ascii="仿宋_GB2312" w:hAnsi="宋体" w:cs="宋体"/>
                <w:color w:val="000000"/>
                <w:kern w:val="0"/>
                <w:sz w:val="22"/>
              </w:rPr>
              <w:t>分别于今年3月份和11月份举行两期财务知识培训，进一步提高财务人员水平；</w:t>
            </w:r>
            <w:r>
              <w:rPr>
                <w:rFonts w:hint="eastAsia" w:ascii="仿宋_GB2312" w:hAnsi="宋体" w:cs="宋体"/>
                <w:b/>
                <w:bCs/>
                <w:color w:val="000000"/>
                <w:kern w:val="0"/>
                <w:sz w:val="22"/>
              </w:rPr>
              <w:t>三是</w:t>
            </w:r>
            <w:r>
              <w:rPr>
                <w:rFonts w:hint="eastAsia" w:ascii="仿宋_GB2312" w:hAnsi="宋体" w:cs="宋体"/>
                <w:color w:val="000000"/>
                <w:kern w:val="0"/>
                <w:sz w:val="22"/>
              </w:rPr>
              <w:t>重新完善修订了《葵涌办事处建设工程管理办法（暂行）》。于今年5月24日印发实施，针对工程方面的问题进行了整改。</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18</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内部控制管理不到位</w:t>
            </w:r>
          </w:p>
        </w:tc>
        <w:tc>
          <w:tcPr>
            <w:tcW w:w="2792"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2个街道有部分工程项目付款审批手续不全；</w:t>
            </w:r>
          </w:p>
        </w:tc>
        <w:tc>
          <w:tcPr>
            <w:tcW w:w="1984"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宝安区新安街道</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14个超付工程款的项目中有12个工程项目已根据当期的宝安区审计局政府投资项目审计报告整改。其余两个项目：2006年至2007年社区公园建设项目及新安街道关口、耕作口沿线交通综合改善项目工程超付工程款3.48万元已安排街道司法所介入，由街道司法所指派律师积极与相关单位协商超付工程款问题；</w:t>
            </w:r>
            <w:r>
              <w:rPr>
                <w:rFonts w:hint="eastAsia" w:ascii="仿宋_GB2312" w:hAnsi="宋体" w:cs="宋体"/>
                <w:b/>
                <w:bCs/>
                <w:kern w:val="0"/>
                <w:sz w:val="22"/>
              </w:rPr>
              <w:t xml:space="preserve"> 二是</w:t>
            </w:r>
            <w:r>
              <w:rPr>
                <w:rFonts w:hint="eastAsia" w:ascii="仿宋_GB2312" w:hAnsi="宋体" w:cs="宋体"/>
                <w:kern w:val="0"/>
                <w:sz w:val="22"/>
              </w:rPr>
              <w:t>2012年2月投入使用的绿道2号线宝安段工程已于2017年9月8日送宝安区审计局审计。</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19</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1个街道有17处物业对外出租无租赁合同。</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大鹏新区葵涌街道</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今年以来，由办事处司法所组建专门的合同审查工作组，负责对所有的合同进行审查，并重新制定了审查程序和表格。</w:t>
            </w:r>
            <w:r>
              <w:rPr>
                <w:rFonts w:hint="eastAsia" w:ascii="仿宋_GB2312" w:hAnsi="宋体" w:cs="宋体"/>
                <w:b/>
                <w:bCs/>
                <w:color w:val="000000"/>
                <w:kern w:val="0"/>
                <w:sz w:val="22"/>
              </w:rPr>
              <w:t>二是</w:t>
            </w:r>
            <w:r>
              <w:rPr>
                <w:rFonts w:hint="eastAsia" w:ascii="仿宋_GB2312" w:hAnsi="宋体" w:cs="宋体"/>
                <w:color w:val="000000"/>
                <w:kern w:val="0"/>
                <w:sz w:val="22"/>
              </w:rPr>
              <w:t>要求各部门签订的合同统一移交司法所备案，由司法所对备案合同进行统一编号、统一存档。经统计，今年以来共审查合同681份，统一编号和存档，切实规范合同管理。</w:t>
            </w:r>
            <w:r>
              <w:rPr>
                <w:rFonts w:hint="eastAsia" w:ascii="仿宋_GB2312" w:hAnsi="宋体" w:cs="宋体"/>
                <w:b/>
                <w:bCs/>
                <w:color w:val="000000"/>
                <w:kern w:val="0"/>
                <w:sz w:val="22"/>
              </w:rPr>
              <w:t>三是</w:t>
            </w:r>
            <w:r>
              <w:rPr>
                <w:rFonts w:hint="eastAsia" w:ascii="仿宋_GB2312" w:hAnsi="宋体" w:cs="宋体"/>
                <w:color w:val="000000"/>
                <w:kern w:val="0"/>
                <w:sz w:val="22"/>
              </w:rPr>
              <w:t>为使合同管理工作规范化、制度化，办事处对《葵涌办事处合同审查实施细则》进行重新完善和修订，目前已两次征求意见，将于近期完成修订。</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二、部门预算执行审计情况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（一）部分单位未执行“收支两条线”规定</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20</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部分单位未执行“收支两条线”规定</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妇联、市公安局警察训练学校、北京大学深圳研究生院直接将停车场收入等用于物业管理费、维修费等日常支出，涉及金额606.51万元。共青团深圳市委员会下属市青少年活动中心、市司法局第二强制隔离戒毒所分别有出租等收入665.85万元、645.10万元未上缴财政。此外，市公安局消防监督管理局有房产物业4417.54平方米未入账核算。</w:t>
            </w:r>
          </w:p>
        </w:tc>
        <w:tc>
          <w:tcPr>
            <w:tcW w:w="1984" w:type="dxa"/>
            <w:vMerge w:val="restart"/>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深圳市妇女联合会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深圳市公安局警察训练学校</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共青团深圳市委员会下属单位青少年活动中心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深圳市司法局第二强制隔离戒毒所</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深圳市公安局消防监督管理局</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深圳市公安局警察训练学校2016年实行全额财政预算保障以后，其他所有费用的支出已经完全按照"收支两条线"执行；</w:t>
            </w:r>
            <w:r>
              <w:rPr>
                <w:rFonts w:hint="eastAsia" w:ascii="仿宋_GB2312" w:hAnsi="宋体" w:cs="宋体"/>
                <w:b/>
                <w:bCs/>
                <w:color w:val="000000"/>
                <w:kern w:val="0"/>
                <w:sz w:val="22"/>
              </w:rPr>
              <w:t>二是</w:t>
            </w:r>
            <w:r>
              <w:rPr>
                <w:rFonts w:hint="eastAsia" w:ascii="仿宋_GB2312" w:hAnsi="宋体" w:cs="宋体"/>
                <w:color w:val="000000"/>
                <w:kern w:val="0"/>
                <w:sz w:val="22"/>
              </w:rPr>
              <w:t>北京大学深圳研究生院截止至目前所有的租金收入共1158015.09元上缴财政；</w:t>
            </w:r>
            <w:r>
              <w:rPr>
                <w:rFonts w:hint="eastAsia" w:ascii="仿宋_GB2312" w:hAnsi="宋体" w:cs="宋体"/>
                <w:b/>
                <w:bCs/>
                <w:color w:val="000000"/>
                <w:kern w:val="0"/>
                <w:sz w:val="22"/>
              </w:rPr>
              <w:t>三是</w:t>
            </w:r>
            <w:r>
              <w:rPr>
                <w:rFonts w:hint="eastAsia" w:ascii="仿宋_GB2312" w:hAnsi="宋体" w:cs="宋体"/>
                <w:color w:val="000000"/>
                <w:kern w:val="0"/>
                <w:sz w:val="22"/>
              </w:rPr>
              <w:t>深圳市妇女联合会已向市财政委申请2018年度新增经费，用于支付2017年度抵扣的停车场物业管理费，并要求物业管理公司在年内上缴此笔费用。</w:t>
            </w:r>
            <w:r>
              <w:rPr>
                <w:rFonts w:hint="eastAsia" w:ascii="仿宋_GB2312" w:hAnsi="宋体" w:cs="宋体"/>
                <w:b/>
                <w:bCs/>
                <w:color w:val="000000"/>
                <w:kern w:val="0"/>
                <w:sz w:val="22"/>
              </w:rPr>
              <w:t>四是</w:t>
            </w:r>
            <w:r>
              <w:rPr>
                <w:rFonts w:hint="eastAsia" w:ascii="仿宋_GB2312" w:hAnsi="宋体" w:cs="宋体"/>
                <w:color w:val="000000"/>
                <w:kern w:val="0"/>
                <w:sz w:val="22"/>
              </w:rPr>
              <w:t>市司法局第二强制隔离戒毒所已将水电费收入645.10万元上缴财政。</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1.深圳市公安局警察训练学校(已整改)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2.北京大学深圳研究生院(已整改)</w:t>
            </w:r>
          </w:p>
          <w:p>
            <w:pPr>
              <w:spacing w:line="240" w:lineRule="auto"/>
              <w:jc w:val="center"/>
              <w:rPr>
                <w:rFonts w:hint="eastAsia" w:ascii="仿宋_GB2312" w:hAnsi="宋体" w:cs="宋体"/>
                <w:kern w:val="0"/>
                <w:sz w:val="22"/>
              </w:rPr>
            </w:pPr>
            <w:r>
              <w:rPr>
                <w:rFonts w:hint="eastAsia" w:ascii="仿宋_GB2312" w:hAnsi="宋体" w:cs="宋体"/>
                <w:kern w:val="0"/>
                <w:sz w:val="22"/>
              </w:rPr>
              <w:t>3.深圳市妇女联合会（已整改）</w:t>
            </w:r>
          </w:p>
          <w:p>
            <w:pPr>
              <w:spacing w:line="240" w:lineRule="auto"/>
              <w:jc w:val="center"/>
              <w:rPr>
                <w:rFonts w:hint="eastAsia" w:ascii="仿宋_GB2312" w:hAnsi="宋体" w:cs="宋体"/>
                <w:kern w:val="0"/>
                <w:sz w:val="22"/>
              </w:rPr>
            </w:pPr>
            <w:r>
              <w:rPr>
                <w:rFonts w:hint="eastAsia" w:ascii="仿宋_GB2312" w:hAnsi="宋体" w:cs="宋体"/>
                <w:kern w:val="0"/>
                <w:sz w:val="22"/>
              </w:rPr>
              <w:t>4.深圳市司法局第二强制隔离戒毒所(已整改)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21</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共青团深圳市委员会下属单位青少年活动中心召开专题会议,制定并完善各项财务制度,与市财委等部门请示沟通,确定其培训业务收入的性质,明确活动中心财政专户经营性收入缴交办法。</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 xml:space="preserve">正在整改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22</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深圳市公安局消防监督管理局对4417.54平方米的两处房产进行核实。如无法查找原始资料，将委托资产评估机构进行评估，按评估价值记账。</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（二）部分单位超预算、无预算支出公务经费</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23</w:t>
            </w:r>
          </w:p>
        </w:tc>
        <w:tc>
          <w:tcPr>
            <w:tcW w:w="1319"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部分单位超预算、无预算支出公务经费</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哈尔滨工业大学深圳研究生院等3个部门及下属单位2016年公车购置及运行维护费超预算、无预算支出，涉及金额63.53万元。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哈尔滨工业大学深圳研究生院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深圳市建筑工务署下属单位住宅工程管理站</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北京大学深圳研究生院严格执行公车使用和管理的各项规定,2018年预算编制时会综合考虑各项因素，做好预算，杜绝超支现象；</w:t>
            </w:r>
            <w:r>
              <w:rPr>
                <w:rFonts w:hint="eastAsia" w:ascii="仿宋_GB2312" w:hAnsi="宋体" w:cs="宋体"/>
                <w:b/>
                <w:bCs/>
                <w:color w:val="000000"/>
                <w:kern w:val="0"/>
                <w:sz w:val="22"/>
              </w:rPr>
              <w:t>二是</w:t>
            </w:r>
            <w:r>
              <w:rPr>
                <w:rFonts w:hint="eastAsia" w:ascii="仿宋_GB2312" w:hAnsi="宋体" w:cs="宋体"/>
                <w:color w:val="000000"/>
                <w:kern w:val="0"/>
                <w:sz w:val="22"/>
              </w:rPr>
              <w:t>深圳市建筑工务署及下属单位住宅工程管理站经财政主管部门批准，2017年经费预算不再纳入部门预算范畴；</w:t>
            </w:r>
            <w:r>
              <w:rPr>
                <w:rFonts w:hint="eastAsia" w:ascii="仿宋_GB2312" w:hAnsi="宋体" w:cs="宋体"/>
                <w:b/>
                <w:bCs/>
                <w:color w:val="000000"/>
                <w:kern w:val="0"/>
                <w:sz w:val="22"/>
              </w:rPr>
              <w:t>三是</w:t>
            </w:r>
            <w:r>
              <w:rPr>
                <w:rFonts w:hint="eastAsia" w:ascii="仿宋_GB2312" w:hAnsi="宋体" w:cs="宋体"/>
                <w:color w:val="000000"/>
                <w:kern w:val="0"/>
                <w:sz w:val="22"/>
              </w:rPr>
              <w:t>哈尔滨工业大学深圳研究生院2018年度预算编制时会综合考虑各项因素，细化预算科目，规范预算支出行为。</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正在整改                   1.北京大学深圳研究生院（已整改)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2.深圳市建筑工务署及下属单位住宅工程管理站(正在整改)</w:t>
            </w:r>
          </w:p>
          <w:p>
            <w:pPr>
              <w:spacing w:line="240" w:lineRule="auto"/>
              <w:jc w:val="center"/>
              <w:rPr>
                <w:rFonts w:hint="eastAsia" w:ascii="仿宋_GB2312" w:hAnsi="宋体" w:cs="宋体"/>
                <w:kern w:val="0"/>
                <w:sz w:val="22"/>
              </w:rPr>
            </w:pPr>
            <w:r>
              <w:rPr>
                <w:rFonts w:hint="eastAsia" w:ascii="仿宋_GB2312" w:hAnsi="宋体" w:cs="宋体"/>
                <w:kern w:val="0"/>
                <w:sz w:val="22"/>
              </w:rPr>
              <w:t>3.哈尔滨工业大学深圳研究生院(已整改)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24</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北京大学深圳研究生院等2个部门因公出国（境）事项存在管理、审批不规范及超范围报销的问题，涉及金额100.93万元。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深圳市文学艺术界联合会</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北京大学深圳研究生院制定《北京大学深圳研究生院出国流程说明》；</w:t>
            </w:r>
            <w:r>
              <w:rPr>
                <w:rFonts w:hint="eastAsia" w:ascii="仿宋_GB2312" w:hAnsi="宋体" w:cs="宋体"/>
                <w:b/>
                <w:bCs/>
                <w:color w:val="000000"/>
                <w:kern w:val="0"/>
                <w:sz w:val="22"/>
              </w:rPr>
              <w:t>二是</w:t>
            </w:r>
            <w:r>
              <w:rPr>
                <w:rFonts w:hint="eastAsia" w:ascii="仿宋_GB2312" w:hAnsi="宋体" w:cs="宋体"/>
                <w:color w:val="000000"/>
                <w:kern w:val="0"/>
                <w:sz w:val="22"/>
              </w:rPr>
              <w:t>深圳市文学艺术界联合会已将审核要求知会全体干部职工，对于出国(境)须严格通过因公出国(境)审批渠道办理，对于未纳入市外办因公出国年度计划、由市宣传文化基金安排的对外文化交流活动，应先行报市文体局、省文化厅审核备案。</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已整改                     1.北京大学深圳研究生院（已整改）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2.深圳市文学艺术界联合会（已整改）</w:t>
            </w:r>
          </w:p>
          <w:p>
            <w:pPr>
              <w:spacing w:line="240" w:lineRule="auto"/>
              <w:jc w:val="center"/>
              <w:rPr>
                <w:rFonts w:hint="eastAsia" w:ascii="仿宋_GB2312" w:hAnsi="宋体" w:cs="宋体"/>
                <w:kern w:val="0"/>
                <w:sz w:val="22"/>
              </w:rPr>
            </w:pPr>
            <w:r>
              <w:rPr>
                <w:rFonts w:hint="eastAsia" w:ascii="仿宋_GB2312" w:hAnsi="宋体" w:cs="宋体"/>
                <w:kern w:val="0"/>
                <w:sz w:val="22"/>
              </w:rPr>
              <w:t>3.北京大学深圳研究生院（已整改）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25</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市文学艺术界联合会等4个部门及下属单位51笔会议事项预算未细化到具体会议项目，涉及金额199.03万元。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深圳仲裁委员会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中共深圳市委宣传部</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深圳市文学艺术界联合会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中共深圳市委政法委员会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中共深圳市委政法委员会下属单位出租屋综合管理信息中心</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中共深圳市委政法委员会下属单位流动人口和出租屋综合管理办公室</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深圳仲裁委员会制定《日常费用报销制度》；</w:t>
            </w:r>
            <w:r>
              <w:rPr>
                <w:rFonts w:hint="eastAsia" w:ascii="仿宋_GB2312" w:hAnsi="宋体" w:cs="宋体"/>
                <w:b/>
                <w:bCs/>
                <w:color w:val="000000"/>
                <w:kern w:val="0"/>
                <w:sz w:val="22"/>
              </w:rPr>
              <w:t>二是</w:t>
            </w:r>
            <w:r>
              <w:rPr>
                <w:rFonts w:hint="eastAsia" w:ascii="仿宋_GB2312" w:hAnsi="宋体" w:cs="宋体"/>
                <w:color w:val="000000"/>
                <w:kern w:val="0"/>
                <w:sz w:val="22"/>
              </w:rPr>
              <w:t>中共深圳市委宣传部召开财务工作会议，将加强年初部门预算中的会议费管理，及时细化预算项目；</w:t>
            </w:r>
            <w:r>
              <w:rPr>
                <w:rFonts w:hint="eastAsia" w:ascii="仿宋_GB2312" w:hAnsi="宋体" w:cs="宋体"/>
                <w:b/>
                <w:bCs/>
                <w:color w:val="000000"/>
                <w:kern w:val="0"/>
                <w:sz w:val="22"/>
              </w:rPr>
              <w:t>三是</w:t>
            </w:r>
            <w:r>
              <w:rPr>
                <w:rFonts w:hint="eastAsia" w:ascii="仿宋_GB2312" w:hAnsi="宋体" w:cs="宋体"/>
                <w:color w:val="000000"/>
                <w:kern w:val="0"/>
                <w:sz w:val="22"/>
              </w:rPr>
              <w:t>深圳市文学艺术界联合会在编制2018年部门预算时，通知各部室按要求报送2018年会议费计划；</w:t>
            </w:r>
            <w:r>
              <w:rPr>
                <w:rFonts w:hint="eastAsia" w:ascii="仿宋_GB2312" w:hAnsi="宋体" w:cs="宋体"/>
                <w:b/>
                <w:bCs/>
                <w:color w:val="000000"/>
                <w:kern w:val="0"/>
                <w:sz w:val="22"/>
              </w:rPr>
              <w:t>四是</w:t>
            </w:r>
            <w:r>
              <w:rPr>
                <w:rFonts w:hint="eastAsia" w:ascii="仿宋_GB2312" w:hAnsi="宋体" w:cs="宋体"/>
                <w:color w:val="000000"/>
                <w:kern w:val="0"/>
                <w:sz w:val="22"/>
              </w:rPr>
              <w:t>中共深圳市委政法委员会及下属单位出租屋综合管理信息中心、流动人口和出租屋综合管理办公室在编制2018年部门预算时已进行整改，将会议费预算细化到具体会议项目，并单独列示。</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正在整改                   1.深圳仲裁委员会（已整改）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2.中共深圳市委宣传部（已整改）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3.深圳市文学艺术界联合会（已整改）</w:t>
            </w:r>
          </w:p>
          <w:p>
            <w:pPr>
              <w:spacing w:line="240" w:lineRule="auto"/>
              <w:jc w:val="center"/>
              <w:rPr>
                <w:rFonts w:hint="eastAsia" w:ascii="仿宋_GB2312" w:hAnsi="宋体" w:cs="宋体"/>
                <w:kern w:val="0"/>
                <w:sz w:val="22"/>
              </w:rPr>
            </w:pPr>
            <w:r>
              <w:rPr>
                <w:rFonts w:hint="eastAsia" w:ascii="仿宋_GB2312" w:hAnsi="宋体" w:cs="宋体"/>
                <w:kern w:val="0"/>
                <w:sz w:val="22"/>
              </w:rPr>
              <w:t>4.中共深圳市委政法委员会及下属单位出租屋综合管理信息中心、流动人口和出租屋综合管理办公室（正在整改）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二、部门预算执行审计情况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（二）部分单位超预算、无预算支出公务经费</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26</w:t>
            </w:r>
          </w:p>
        </w:tc>
        <w:tc>
          <w:tcPr>
            <w:tcW w:w="1319"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部分单位超预算、无预算支出公务经费</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市科学技术协会等4个部门8笔会议事项未在定点饭店或内部场所召开，涉及金额134.57万元。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哈尔滨工业大学深圳研究生院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深圳市科学技术协会</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深圳市中级人民法院</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哈尔滨工业大学深圳研究生院将会议费暂行办法发通知挂网上；</w:t>
            </w:r>
            <w:r>
              <w:rPr>
                <w:rFonts w:hint="eastAsia" w:ascii="仿宋_GB2312" w:hAnsi="宋体" w:cs="宋体"/>
                <w:b/>
                <w:bCs/>
                <w:color w:val="000000"/>
                <w:kern w:val="0"/>
                <w:sz w:val="22"/>
              </w:rPr>
              <w:t>二是</w:t>
            </w:r>
            <w:r>
              <w:rPr>
                <w:rFonts w:hint="eastAsia" w:ascii="仿宋_GB2312" w:hAnsi="宋体" w:cs="宋体"/>
                <w:color w:val="000000"/>
                <w:kern w:val="0"/>
                <w:sz w:val="22"/>
              </w:rPr>
              <w:t>北京大学深圳研究生院完善相关原始凭证，加强对会议签到表等原始资料的收集；</w:t>
            </w:r>
            <w:r>
              <w:rPr>
                <w:rFonts w:hint="eastAsia" w:ascii="仿宋_GB2312" w:hAnsi="宋体" w:cs="宋体"/>
                <w:b/>
                <w:bCs/>
                <w:color w:val="000000"/>
                <w:kern w:val="0"/>
                <w:sz w:val="22"/>
              </w:rPr>
              <w:t>三是</w:t>
            </w:r>
            <w:r>
              <w:rPr>
                <w:rFonts w:hint="eastAsia" w:ascii="仿宋_GB2312" w:hAnsi="宋体" w:cs="宋体"/>
                <w:color w:val="000000"/>
                <w:kern w:val="0"/>
                <w:sz w:val="22"/>
              </w:rPr>
              <w:t>深圳市科学技术协会加强会议费支出与报销管理，杜绝类似不规范问题再次发生；</w:t>
            </w:r>
            <w:r>
              <w:rPr>
                <w:rFonts w:hint="eastAsia" w:ascii="仿宋_GB2312" w:hAnsi="宋体" w:cs="宋体"/>
                <w:b/>
                <w:bCs/>
                <w:color w:val="000000"/>
                <w:kern w:val="0"/>
                <w:sz w:val="22"/>
              </w:rPr>
              <w:t>四是</w:t>
            </w:r>
            <w:r>
              <w:rPr>
                <w:rFonts w:hint="eastAsia" w:ascii="仿宋_GB2312" w:hAnsi="宋体" w:cs="宋体"/>
                <w:color w:val="000000"/>
                <w:kern w:val="0"/>
                <w:sz w:val="22"/>
              </w:rPr>
              <w:t>深圳市中级人民法院修订了《深圳市中级人民法院财务管理办法》严把审核关，着力整改会议报销单据附件问题。</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已整改                     1.哈尔滨工业大学深圳研究生院（已整改）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2.北京大学深圳研究生院（已整改）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3.深圳市科学技术协会（已整改）</w:t>
            </w:r>
          </w:p>
          <w:p>
            <w:pPr>
              <w:spacing w:line="240" w:lineRule="auto"/>
              <w:jc w:val="center"/>
              <w:rPr>
                <w:rFonts w:hint="eastAsia" w:ascii="仿宋_GB2312" w:hAnsi="宋体" w:cs="宋体"/>
                <w:kern w:val="0"/>
                <w:sz w:val="22"/>
              </w:rPr>
            </w:pPr>
            <w:r>
              <w:rPr>
                <w:rFonts w:hint="eastAsia" w:ascii="仿宋_GB2312" w:hAnsi="宋体" w:cs="宋体"/>
                <w:kern w:val="0"/>
                <w:sz w:val="22"/>
              </w:rPr>
              <w:t>4.深圳市中级人民法院（已整改）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58" w:type="dxa"/>
            <w:vMerge w:val="continue"/>
            <w:vAlign w:val="center"/>
          </w:tcPr>
          <w:p>
            <w:pPr>
              <w:spacing w:line="240" w:lineRule="auto"/>
              <w:jc w:val="center"/>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27</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深圳仲裁委等2个部门及下属单位16笔培训事项预算未细化到具体培训项目，涉及金额142.59万元；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深圳仲裁委员会</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中共深圳市委宣传部及下属单位讲师团</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深圳仲裁委员会制定《日常费用报销制度》；</w:t>
            </w:r>
            <w:r>
              <w:rPr>
                <w:rFonts w:hint="eastAsia" w:ascii="仿宋_GB2312" w:hAnsi="宋体" w:cs="宋体"/>
                <w:b/>
                <w:bCs/>
                <w:color w:val="000000"/>
                <w:kern w:val="0"/>
                <w:sz w:val="22"/>
              </w:rPr>
              <w:t>二是</w:t>
            </w:r>
            <w:r>
              <w:rPr>
                <w:rFonts w:hint="eastAsia" w:ascii="仿宋_GB2312" w:hAnsi="宋体" w:cs="宋体"/>
                <w:color w:val="000000"/>
                <w:kern w:val="0"/>
                <w:sz w:val="22"/>
              </w:rPr>
              <w:t>中共深圳市委宣传部及下属单位讲师团召开财务工作会议，完善相关管理制度，进一步加强培训费支出与审核管理工作。</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已整改                     1.深圳仲裁委员会（已整改）</w:t>
            </w:r>
          </w:p>
          <w:p>
            <w:pPr>
              <w:spacing w:line="240" w:lineRule="auto"/>
              <w:jc w:val="center"/>
              <w:rPr>
                <w:rFonts w:hint="eastAsia" w:ascii="仿宋_GB2312" w:hAnsi="宋体" w:cs="宋体"/>
                <w:kern w:val="0"/>
                <w:sz w:val="22"/>
              </w:rPr>
            </w:pPr>
            <w:r>
              <w:rPr>
                <w:rFonts w:hint="eastAsia" w:ascii="仿宋_GB2312" w:hAnsi="宋体" w:cs="宋体"/>
                <w:kern w:val="0"/>
                <w:sz w:val="22"/>
              </w:rPr>
              <w:t>2.中共深圳市委宣传部及下属单位讲师团（已整改）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9" w:hRule="atLeast"/>
        </w:trPr>
        <w:tc>
          <w:tcPr>
            <w:tcW w:w="658" w:type="dxa"/>
            <w:vMerge w:val="continue"/>
            <w:vAlign w:val="center"/>
          </w:tcPr>
          <w:p>
            <w:pPr>
              <w:spacing w:line="240" w:lineRule="auto"/>
              <w:jc w:val="center"/>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（二）部分单位超预算、无预算支出公务经费</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28</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部分单位超预算、无预算支出公务经费</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市工商业联合会等8个部门及下属单位2016年培训费超预算支出，涉及金额74.98万元。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深圳市工商业联合会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深圳市建筑工务署下属单位工程管理中心、土地投资开发中心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哈尔滨工业大学深圳研究生院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深圳市科学技术协会下属单位专家委员会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深圳市科学技术协会下属单位交流中心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深圳市公安局消防监督管理局</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深圳市广播电视传输中心</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深圳市机构编制委员会办公室</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深圳市建筑工务署及下属单位工程管理中心、土地投资开发中心加强与财政主管部门的沟通，严格培训费用支出；</w:t>
            </w:r>
            <w:r>
              <w:rPr>
                <w:rFonts w:hint="eastAsia" w:ascii="仿宋_GB2312" w:hAnsi="宋体" w:cs="宋体"/>
                <w:b/>
                <w:bCs/>
                <w:color w:val="000000"/>
                <w:kern w:val="0"/>
                <w:sz w:val="22"/>
              </w:rPr>
              <w:t>二是</w:t>
            </w:r>
            <w:r>
              <w:rPr>
                <w:rFonts w:hint="eastAsia" w:ascii="仿宋_GB2312" w:hAnsi="宋体" w:cs="宋体"/>
                <w:color w:val="000000"/>
                <w:kern w:val="0"/>
                <w:sz w:val="22"/>
              </w:rPr>
              <w:t>哈尔滨工业大学深圳研究生院2018年度编制培训费预算时会综合考虑各项因素，细化预算科目；</w:t>
            </w:r>
            <w:r>
              <w:rPr>
                <w:rFonts w:hint="eastAsia" w:ascii="仿宋_GB2312" w:hAnsi="宋体" w:cs="宋体"/>
                <w:b/>
                <w:bCs/>
                <w:color w:val="000000"/>
                <w:kern w:val="0"/>
                <w:sz w:val="22"/>
              </w:rPr>
              <w:t>三是</w:t>
            </w:r>
            <w:r>
              <w:rPr>
                <w:rFonts w:hint="eastAsia" w:ascii="仿宋_GB2312" w:hAnsi="宋体" w:cs="宋体"/>
                <w:color w:val="000000"/>
                <w:kern w:val="0"/>
                <w:sz w:val="22"/>
              </w:rPr>
              <w:t>北京大学深圳研究生院2018年预算编制时会综合考虑各项因素，做好预算，杜绝超支现象；</w:t>
            </w:r>
            <w:r>
              <w:rPr>
                <w:rFonts w:hint="eastAsia" w:ascii="仿宋_GB2312" w:hAnsi="宋体" w:cs="宋体"/>
                <w:b/>
                <w:bCs/>
                <w:color w:val="000000"/>
                <w:kern w:val="0"/>
                <w:sz w:val="22"/>
              </w:rPr>
              <w:t>四是</w:t>
            </w:r>
            <w:r>
              <w:rPr>
                <w:rFonts w:hint="eastAsia" w:ascii="仿宋_GB2312" w:hAnsi="宋体" w:cs="宋体"/>
                <w:color w:val="000000"/>
                <w:kern w:val="0"/>
                <w:sz w:val="22"/>
              </w:rPr>
              <w:t>市科协下属单位制定预算管理制度，规范预算编制行为；</w:t>
            </w:r>
            <w:r>
              <w:rPr>
                <w:rFonts w:hint="eastAsia" w:ascii="仿宋_GB2312" w:hAnsi="宋体" w:cs="宋体"/>
                <w:b/>
                <w:bCs/>
                <w:color w:val="000000"/>
                <w:kern w:val="0"/>
                <w:sz w:val="22"/>
              </w:rPr>
              <w:t>五是</w:t>
            </w:r>
            <w:r>
              <w:rPr>
                <w:rFonts w:hint="eastAsia" w:ascii="仿宋_GB2312" w:hAnsi="宋体" w:cs="宋体"/>
                <w:color w:val="000000"/>
                <w:kern w:val="0"/>
                <w:sz w:val="22"/>
              </w:rPr>
              <w:t>深圳市公安局消防监督管理局对部门预算编制进行了改革，已将培训费单列预算指标，并制定整年培训计划向上级部门备案；</w:t>
            </w:r>
            <w:r>
              <w:rPr>
                <w:rFonts w:hint="eastAsia" w:ascii="仿宋_GB2312" w:hAnsi="宋体" w:cs="宋体"/>
                <w:b/>
                <w:bCs/>
                <w:color w:val="000000"/>
                <w:kern w:val="0"/>
                <w:sz w:val="22"/>
              </w:rPr>
              <w:t>六是</w:t>
            </w:r>
            <w:r>
              <w:rPr>
                <w:rFonts w:hint="eastAsia" w:ascii="仿宋_GB2312" w:hAnsi="宋体" w:cs="宋体"/>
                <w:color w:val="000000"/>
                <w:kern w:val="0"/>
                <w:sz w:val="22"/>
              </w:rPr>
              <w:t>深圳市工商业联合会加强预算编制管理，提高预算编制的科学性和准确性；</w:t>
            </w:r>
            <w:r>
              <w:rPr>
                <w:rFonts w:hint="eastAsia" w:ascii="仿宋_GB2312" w:hAnsi="宋体" w:cs="宋体"/>
                <w:b/>
                <w:bCs/>
                <w:color w:val="000000"/>
                <w:kern w:val="0"/>
                <w:sz w:val="22"/>
              </w:rPr>
              <w:t>七是</w:t>
            </w:r>
            <w:r>
              <w:rPr>
                <w:rFonts w:hint="eastAsia" w:ascii="仿宋_GB2312" w:hAnsi="宋体" w:cs="宋体"/>
                <w:color w:val="000000"/>
                <w:kern w:val="0"/>
                <w:sz w:val="22"/>
              </w:rPr>
              <w:t>深圳市广播电视传输中心严格控制超预算支出，提高预算编制的科学性和准确性，有效控制培训费支出；</w:t>
            </w:r>
            <w:r>
              <w:rPr>
                <w:rFonts w:hint="eastAsia" w:ascii="仿宋_GB2312" w:hAnsi="宋体" w:cs="宋体"/>
                <w:b/>
                <w:bCs/>
                <w:color w:val="000000"/>
                <w:kern w:val="0"/>
                <w:sz w:val="22"/>
              </w:rPr>
              <w:t>八是</w:t>
            </w:r>
            <w:r>
              <w:rPr>
                <w:rFonts w:hint="eastAsia" w:ascii="仿宋_GB2312" w:hAnsi="宋体" w:cs="宋体"/>
                <w:color w:val="000000"/>
                <w:kern w:val="0"/>
                <w:sz w:val="22"/>
              </w:rPr>
              <w:t>深圳市机构编制委员会办公室将进一步细化部门预算编制，严格执行预算。</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正在整改                    1.深圳市建筑工务署及下属单位工程管理中心、土地投资开发中心（正在整改）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2.哈尔滨工业大学深圳研究生院（已整改）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3.北京大学深圳研究生院（已整改）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4.深圳市科学技术协会下属单位专家委员会、交流中心（已整改）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5.深圳市公安局消防监督管理局（已整改）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6.深圳市工商业联合会（正在整改）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7.深圳市广播电视传输中心（正在整改）</w:t>
            </w:r>
          </w:p>
          <w:p>
            <w:pPr>
              <w:spacing w:line="240" w:lineRule="auto"/>
              <w:jc w:val="center"/>
              <w:rPr>
                <w:rFonts w:hint="eastAsia" w:ascii="仿宋_GB2312" w:hAnsi="宋体" w:cs="宋体"/>
                <w:kern w:val="0"/>
                <w:sz w:val="22"/>
              </w:rPr>
            </w:pPr>
            <w:r>
              <w:rPr>
                <w:rFonts w:hint="eastAsia" w:ascii="仿宋_GB2312" w:hAnsi="宋体" w:cs="宋体"/>
                <w:kern w:val="0"/>
                <w:sz w:val="22"/>
              </w:rPr>
              <w:t>8.深圳市机构编制委员会办公室（正在整改）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二、部门预算执行审计情况</w:t>
            </w:r>
          </w:p>
        </w:tc>
        <w:tc>
          <w:tcPr>
            <w:tcW w:w="1010"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（三）部分单位未严格执行政府采购</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29</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部分单位未严格执行政府采购</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北京大学深圳研究生院、市公安局消防监督管理局将本该公开招标采购的项目实行自行采购，涉及金额870.80万元。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北京大学深圳研究生院(691.98万元)</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深圳市公安局消防监督管理局(178.82万元)</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北京大学深圳研究生院将解除与深圳南油外服人力资源有限公司签订的劳务派遣合同，并从预选供应商名单内选择合适的劳务派遣公司。健全科研经费自行采购相关制度，建设科研材料与测试化验加工自行采购的内控流程；</w:t>
            </w:r>
            <w:r>
              <w:rPr>
                <w:rFonts w:hint="eastAsia" w:ascii="仿宋_GB2312" w:hAnsi="宋体" w:cs="宋体"/>
                <w:b/>
                <w:bCs/>
                <w:color w:val="000000"/>
                <w:kern w:val="0"/>
                <w:sz w:val="22"/>
              </w:rPr>
              <w:t>二是</w:t>
            </w:r>
            <w:r>
              <w:rPr>
                <w:rFonts w:hint="eastAsia" w:ascii="仿宋_GB2312" w:hAnsi="宋体" w:cs="宋体"/>
                <w:color w:val="000000"/>
                <w:kern w:val="0"/>
                <w:sz w:val="22"/>
              </w:rPr>
              <w:t>深圳市公安局消防监督管理局印发《深圳市公安局消防监督管理自行采购价格审核工作办法（试行）》的通知；</w:t>
            </w:r>
            <w:r>
              <w:rPr>
                <w:rFonts w:hint="eastAsia" w:ascii="仿宋_GB2312" w:hAnsi="宋体" w:cs="宋体"/>
                <w:b/>
                <w:bCs/>
                <w:color w:val="000000"/>
                <w:kern w:val="0"/>
                <w:sz w:val="22"/>
              </w:rPr>
              <w:t>三是</w:t>
            </w:r>
            <w:r>
              <w:rPr>
                <w:rFonts w:hint="eastAsia" w:ascii="仿宋_GB2312" w:hAnsi="宋体" w:cs="宋体"/>
                <w:color w:val="000000"/>
                <w:kern w:val="0"/>
                <w:sz w:val="22"/>
              </w:rPr>
              <w:t>市财政委同意市公安局消防监督管理局消防产品抽样检测项目实施单一来源方式委托深圳市计量质量检测研究院进行检测。</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已整改                     1.北京大学深圳研究生院（已整改）</w:t>
            </w:r>
          </w:p>
          <w:p>
            <w:pPr>
              <w:spacing w:line="240" w:lineRule="auto"/>
              <w:jc w:val="center"/>
              <w:rPr>
                <w:rFonts w:hint="eastAsia" w:ascii="仿宋_GB2312" w:hAnsi="宋体" w:cs="宋体"/>
                <w:kern w:val="0"/>
                <w:sz w:val="22"/>
              </w:rPr>
            </w:pPr>
            <w:r>
              <w:rPr>
                <w:rFonts w:hint="eastAsia" w:ascii="仿宋_GB2312" w:hAnsi="宋体" w:cs="宋体"/>
                <w:kern w:val="0"/>
                <w:sz w:val="22"/>
              </w:rPr>
              <w:t>2.深圳市公安局消防监督管理局（已整改）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658" w:type="dxa"/>
            <w:vMerge w:val="continue"/>
            <w:vAlign w:val="center"/>
          </w:tcPr>
          <w:p>
            <w:pPr>
              <w:spacing w:line="240" w:lineRule="auto"/>
              <w:jc w:val="center"/>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（三）部分单位未严格执行政府采购</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30</w:t>
            </w:r>
          </w:p>
        </w:tc>
        <w:tc>
          <w:tcPr>
            <w:tcW w:w="1319"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部分单位未严格执行政府采购</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市社会科学院等7个部门及下属单位的自行采购活动，未按规定执行货比三家的询价比价程序，涉及合同金额693.66万元。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中共深圳市委政法委员会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中共深圳市委政法委员会下属单位出租屋综合管理信息中心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深圳市发展和改革委员会下属单位评审中心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深圳市城市管理局下属单位垃圾分类中心</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深圳市社会科学院</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深圳市社会保险基金管理局</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北京大学深圳研究生院</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哈尔滨工业大学深圳研究生院</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市委政法委将加大检查力度，严格按规定执行；</w:t>
            </w:r>
            <w:r>
              <w:rPr>
                <w:rFonts w:hint="eastAsia" w:ascii="仿宋_GB2312" w:hAnsi="宋体" w:cs="宋体"/>
                <w:b/>
                <w:bCs/>
                <w:color w:val="000000"/>
                <w:kern w:val="0"/>
                <w:sz w:val="22"/>
              </w:rPr>
              <w:t>二是</w:t>
            </w:r>
            <w:r>
              <w:rPr>
                <w:rFonts w:hint="eastAsia" w:ascii="仿宋_GB2312" w:hAnsi="宋体" w:cs="宋体"/>
                <w:color w:val="000000"/>
                <w:kern w:val="0"/>
                <w:sz w:val="22"/>
              </w:rPr>
              <w:t>深圳市发展和改革委员会发布了《关于进一步规范自行采购的通知》；</w:t>
            </w:r>
            <w:r>
              <w:rPr>
                <w:rFonts w:hint="eastAsia" w:ascii="仿宋_GB2312" w:hAnsi="宋体" w:cs="宋体"/>
                <w:b/>
                <w:bCs/>
                <w:color w:val="000000"/>
                <w:kern w:val="0"/>
                <w:sz w:val="22"/>
              </w:rPr>
              <w:t>三是</w:t>
            </w:r>
            <w:r>
              <w:rPr>
                <w:rFonts w:hint="eastAsia" w:ascii="仿宋_GB2312" w:hAnsi="宋体" w:cs="宋体"/>
                <w:color w:val="000000"/>
                <w:kern w:val="0"/>
                <w:sz w:val="22"/>
              </w:rPr>
              <w:t>深圳市城市管理局规范自行采购项目的采购程序；</w:t>
            </w:r>
            <w:r>
              <w:rPr>
                <w:rFonts w:hint="eastAsia" w:ascii="仿宋_GB2312" w:hAnsi="宋体" w:cs="宋体"/>
                <w:b/>
                <w:bCs/>
                <w:color w:val="000000"/>
                <w:kern w:val="0"/>
                <w:sz w:val="22"/>
              </w:rPr>
              <w:t>四是</w:t>
            </w:r>
            <w:r>
              <w:rPr>
                <w:rFonts w:hint="eastAsia" w:ascii="仿宋_GB2312" w:hAnsi="宋体" w:cs="宋体"/>
                <w:color w:val="000000"/>
                <w:kern w:val="0"/>
                <w:sz w:val="22"/>
              </w:rPr>
              <w:t>深圳市社会科学院成立了自行采购联合审查小组，起草了《深圳市社会科学院自行采购管理办法（征求意见稿）》和《深圳市社会科学院劳务费发放管理办法（征求意见稿）》；</w:t>
            </w:r>
            <w:r>
              <w:rPr>
                <w:rFonts w:hint="eastAsia" w:ascii="仿宋_GB2312" w:hAnsi="宋体" w:cs="宋体"/>
                <w:b/>
                <w:bCs/>
                <w:color w:val="000000"/>
                <w:kern w:val="0"/>
                <w:sz w:val="22"/>
              </w:rPr>
              <w:t>五是</w:t>
            </w:r>
            <w:r>
              <w:rPr>
                <w:rFonts w:hint="eastAsia" w:ascii="仿宋_GB2312" w:hAnsi="宋体" w:cs="宋体"/>
                <w:color w:val="000000"/>
                <w:kern w:val="0"/>
                <w:sz w:val="22"/>
              </w:rPr>
              <w:t>深圳市社会保险基金管理局已将记账凭证资料补充齐全，按正规程序已货比三家；</w:t>
            </w:r>
            <w:r>
              <w:rPr>
                <w:rFonts w:hint="eastAsia" w:ascii="仿宋_GB2312" w:hAnsi="宋体" w:cs="宋体"/>
                <w:b/>
                <w:bCs/>
                <w:color w:val="000000"/>
                <w:kern w:val="0"/>
                <w:sz w:val="22"/>
              </w:rPr>
              <w:t>六是</w:t>
            </w:r>
            <w:r>
              <w:rPr>
                <w:rFonts w:hint="eastAsia" w:ascii="仿宋_GB2312" w:hAnsi="宋体" w:cs="宋体"/>
                <w:color w:val="000000"/>
                <w:kern w:val="0"/>
                <w:sz w:val="22"/>
              </w:rPr>
              <w:t>北京大学深圳研究生院制定《北京大学研究生院科研服务采购审批细则》和《北京大学深圳研究生院仪器设备自行采购实施细则》；</w:t>
            </w:r>
            <w:r>
              <w:rPr>
                <w:rFonts w:hint="eastAsia" w:ascii="仿宋_GB2312" w:hAnsi="宋体" w:cs="宋体"/>
                <w:b/>
                <w:bCs/>
                <w:color w:val="000000"/>
                <w:kern w:val="0"/>
                <w:sz w:val="22"/>
              </w:rPr>
              <w:t>七是</w:t>
            </w:r>
            <w:r>
              <w:rPr>
                <w:rFonts w:hint="eastAsia" w:ascii="仿宋_GB2312" w:hAnsi="宋体" w:cs="宋体"/>
                <w:color w:val="000000"/>
                <w:kern w:val="0"/>
                <w:sz w:val="22"/>
              </w:rPr>
              <w:t>哈尔滨工业大学深圳研究生院健全科研经费自行采购相关制度，建设科研材料与测试化验加工自行采购的内控流程,规范自行采购活动,制定《哈尔滨工业大学深圳研究生院采购管理办法--征求意见稿阶段》。</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正在整改                   1.中共深圳市委政法委员会(正在整改)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2.深圳市发展和改革委员会(已整改)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3.深圳市城市管理局(正在整改)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4.深圳市社会科学院(已整改)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5.深圳市社会保险基金管理局(已整改)</w:t>
            </w:r>
          </w:p>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6.北京大学深圳研究生院(已整改)</w:t>
            </w:r>
          </w:p>
          <w:p>
            <w:pPr>
              <w:spacing w:line="240" w:lineRule="auto"/>
              <w:jc w:val="center"/>
              <w:rPr>
                <w:rFonts w:hint="eastAsia" w:ascii="仿宋_GB2312" w:hAnsi="宋体" w:cs="宋体"/>
                <w:kern w:val="0"/>
                <w:sz w:val="22"/>
              </w:rPr>
            </w:pPr>
            <w:r>
              <w:rPr>
                <w:rFonts w:hint="eastAsia" w:ascii="仿宋_GB2312" w:hAnsi="宋体" w:cs="宋体"/>
                <w:kern w:val="0"/>
                <w:sz w:val="22"/>
              </w:rPr>
              <w:t>7.哈尔滨工业大学深圳研究生院(已整改)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31</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城管局下属单位公安局森林分局通过采购中心进行劳务外包采购，与深圳铁路保安服务公司签订劳务派遣合同，在实际派遣人员减少的情况下，仍按照原合同约定人数支付劳务费，根据合同标准计算，多付劳务费764.66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深圳市城市管理局及下属单位公安局森林分局</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深圳市城市管理局本级：进行了重新采购，根据岗位设置情况重新调整合同项目条款，从市劳务派遣预选供应商中抽取了三家公司询价和进行资质考察，经局长办公会议审定后确定劳务派遣项目中标单位，签订劳务派遣合同；</w:t>
            </w:r>
            <w:r>
              <w:rPr>
                <w:rFonts w:hint="eastAsia" w:ascii="仿宋_GB2312" w:hAnsi="宋体" w:cs="宋体"/>
                <w:b/>
                <w:bCs/>
                <w:color w:val="000000"/>
                <w:kern w:val="0"/>
                <w:sz w:val="22"/>
              </w:rPr>
              <w:t>二是</w:t>
            </w:r>
            <w:r>
              <w:rPr>
                <w:rFonts w:hint="eastAsia" w:ascii="仿宋_GB2312" w:hAnsi="宋体" w:cs="宋体"/>
                <w:color w:val="000000"/>
                <w:kern w:val="0"/>
                <w:sz w:val="22"/>
              </w:rPr>
              <w:t>森林公安分局成立专项整改工作组；召开专题会议研究整改工作；正式去函给铁保公司核实各项费用及利润等实际支出情况；对保安外包服务中存在的问题引以为戒，加强业务决策审批流程和合同管理。</w:t>
            </w:r>
          </w:p>
        </w:tc>
        <w:tc>
          <w:tcPr>
            <w:tcW w:w="2126" w:type="dxa"/>
            <w:vAlign w:val="center"/>
          </w:tcPr>
          <w:p>
            <w:pPr>
              <w:spacing w:line="240" w:lineRule="auto"/>
              <w:jc w:val="center"/>
              <w:rPr>
                <w:rFonts w:hint="eastAsia" w:ascii="仿宋_GB2312" w:hAnsi="宋体" w:eastAsia="仿宋_GB2312" w:cs="宋体"/>
                <w:kern w:val="0"/>
                <w:sz w:val="22"/>
                <w:lang w:eastAsia="zh-CN"/>
              </w:rPr>
            </w:pPr>
            <w:r>
              <w:rPr>
                <w:rFonts w:hint="eastAsia" w:ascii="仿宋_GB2312" w:hAnsi="宋体" w:cs="宋体"/>
                <w:kern w:val="0"/>
                <w:sz w:val="22"/>
              </w:rPr>
              <w:t>正在整改                    1.本级（已整改）</w:t>
            </w:r>
          </w:p>
          <w:p>
            <w:pPr>
              <w:spacing w:line="240" w:lineRule="auto"/>
              <w:jc w:val="center"/>
              <w:rPr>
                <w:rFonts w:hint="eastAsia" w:ascii="仿宋_GB2312" w:hAnsi="宋体" w:cs="宋体"/>
                <w:kern w:val="0"/>
                <w:sz w:val="22"/>
              </w:rPr>
            </w:pPr>
            <w:r>
              <w:rPr>
                <w:rFonts w:hint="eastAsia" w:ascii="仿宋_GB2312" w:hAnsi="宋体" w:cs="宋体"/>
                <w:kern w:val="0"/>
                <w:sz w:val="22"/>
              </w:rPr>
              <w:t>2.森林公安分局（正在整改）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32</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市公安局警察训练学校违规聘用临时人员57名，支付人员工资等费用326.80万元。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深圳市公安局警察训练学校</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深圳市公安局警察训练学校已通过市公安局向市财委申请了政府采购指标，政府采购工作正在开展中。自2018年1月1日起，可通过购买服务的方式解决使用聘用人员问题。</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658" w:type="dxa"/>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三、重大政策措施跟踪审计情况</w:t>
            </w: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（一）未按规定核实清理淘汰低端企业名单</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33</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未按规定核实清理淘汰低端企业名单</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罗湖区上报的2015-2016年度清理淘汰企业名单，对照《深圳市产业结构调整优化和产业导向目录（2013年版）》，部分企业并不属于低端企业。经核查，罗湖区是根据工商管理部门提供的年度注销企业名单做出判断确定。</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罗湖区人民政府</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罗湖区已出台《罗湖区清理淘汰低端企业工作方案》，方案明确低端产业范围，并已印发至全区各街道办事处、区政府直属部门，要求严格按方案要求，紧扣低端产业定义范围，核实清理淘汰低端企业；</w:t>
            </w:r>
            <w:r>
              <w:rPr>
                <w:rFonts w:hint="eastAsia" w:ascii="仿宋_GB2312" w:hAnsi="宋体" w:cs="宋体"/>
                <w:b/>
                <w:bCs/>
                <w:color w:val="000000"/>
                <w:kern w:val="0"/>
                <w:sz w:val="22"/>
              </w:rPr>
              <w:t>二是</w:t>
            </w:r>
            <w:r>
              <w:rPr>
                <w:rFonts w:hint="eastAsia" w:ascii="仿宋_GB2312" w:hAnsi="宋体" w:cs="宋体"/>
                <w:color w:val="000000"/>
                <w:kern w:val="0"/>
                <w:sz w:val="22"/>
              </w:rPr>
              <w:t>2017年上半年共淘汰低端企业73家，完成市产业转型升级考核指标85%。</w:t>
            </w:r>
            <w:r>
              <w:rPr>
                <w:rFonts w:hint="eastAsia" w:ascii="仿宋_GB2312" w:hAnsi="宋体" w:cs="宋体"/>
                <w:b/>
                <w:bCs/>
                <w:color w:val="000000"/>
                <w:kern w:val="0"/>
                <w:sz w:val="22"/>
              </w:rPr>
              <w:t>三是</w:t>
            </w:r>
            <w:r>
              <w:rPr>
                <w:rFonts w:hint="eastAsia" w:ascii="仿宋_GB2312" w:hAnsi="宋体" w:cs="宋体"/>
                <w:color w:val="000000"/>
                <w:kern w:val="0"/>
                <w:sz w:val="22"/>
              </w:rPr>
              <w:t>修订出台了《区产业转型升级专项资金管理办法》及其7个实施细则、《罗湖区产业发展“十三五”规划》、《罗湖区国际消费中心建设“十三五”规划》、《水贝-布心黄金珠宝产业供给侧结构性改革实施方案》等政策措施，以高端置换低端，增量优质、存量优化，全面推动辖区产业整体转型升级，使低端企业逐步失去生存土壤。</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58" w:type="dxa"/>
            <w:vAlign w:val="center"/>
          </w:tcPr>
          <w:p>
            <w:pPr>
              <w:spacing w:line="240" w:lineRule="auto"/>
              <w:rPr>
                <w:rFonts w:hint="eastAsia" w:ascii="仿宋_GB2312" w:hAnsi="宋体" w:cs="宋体"/>
                <w:b/>
                <w:bCs/>
                <w:color w:val="000000"/>
                <w:kern w:val="0"/>
                <w:sz w:val="22"/>
              </w:rPr>
            </w:pPr>
            <w:r>
              <w:rPr>
                <w:rFonts w:hint="eastAsia" w:ascii="仿宋_GB2312" w:hAnsi="宋体" w:cs="宋体"/>
                <w:b/>
                <w:bCs/>
                <w:color w:val="000000"/>
                <w:kern w:val="0"/>
                <w:sz w:val="22"/>
              </w:rPr>
              <w:t>三、重大政策措施跟踪审计情况</w:t>
            </w: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（二）未按规定划拨个别扶贫资金</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34</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未按规定划拨个别扶贫资金</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大鹏新区下属4个帮扶单位2016年6月至2017年3月，自筹的扶贫资金54万元未按规定划转至共管账户，而是划拨至河源市源城区财政局财政专户，不利于扶贫资金的使用监管。</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大鹏新区管委会</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大鹏新区管委会已将上述扶贫款54万元已于2017年4月14日拨入共管账户。</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四、重点民生项目和专项资金审计情况</w:t>
            </w: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（一）深圳市保障性安居工程跟踪审计情况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35</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租赁历史遗留问题建筑纳入保障房存在风险</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通过租赁、没收等方式将违法建筑和历史遗留问题建筑纳入保障房，由于缺乏制度规范和操作管理细则，存在一定法律风险。如南山区某保障房项目属于农村城市化历史遗留建筑，未办理建设工程规划许可证等建设手续，2016年南山区政府通过长期租赁方式将其改造为保障房，并一次性支付了70%的合同价款租金共计6,426.92万元，相关资金和房源均存在风险。</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深圳市住房和建设局</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南山区政府</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已按《关于农村城市化历史遗留违法建筑的处理决定》的相关规定，办理了历史遗留建筑普查登记，并通过房屋安全鉴定机构检测鉴定和消防部门验收，南山区政府决定在满足工程质量和消防安全要求前提下试点作为人才住房使用；</w:t>
            </w:r>
            <w:r>
              <w:rPr>
                <w:rFonts w:hint="eastAsia" w:ascii="仿宋_GB2312" w:hAnsi="宋体" w:cs="宋体"/>
                <w:b/>
                <w:bCs/>
                <w:color w:val="000000"/>
                <w:kern w:val="0"/>
                <w:sz w:val="22"/>
              </w:rPr>
              <w:t>二是</w:t>
            </w:r>
            <w:r>
              <w:rPr>
                <w:rFonts w:hint="eastAsia" w:ascii="仿宋_GB2312" w:hAnsi="宋体" w:cs="宋体"/>
                <w:color w:val="000000"/>
                <w:kern w:val="0"/>
                <w:sz w:val="22"/>
              </w:rPr>
              <w:t>为避免发生相关法律风险和资金风险，南山区在租赁合同中增加了因产权不完整导致合同无效、撤销或房屋拆除时出租人须退还剩余租赁年期租金的相关条款。</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（一）深圳市保障性安居工程跟踪审计情况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36</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保障房信息化管理建设和应用存在不足</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罗湖、盐田、坪山、大鹏、光明等5个区（新区）未全部开通和使用市住房建设局提供的住房保障信息统一平台，无法充分使用保障房信息共享资源；罗湖区、光明新区尚未开通公共资格核查端口，无法实时核查人员信息，不利于后期监管。由于部分区未实时录入相关信息，未充分利用共享资源进行审核，2016年有7人（户）在市、区两级同时配租了公租房，1人（户）已购买安居型商品房后又配租了公租房，1人（户）在配租公租房的同时又借租1套公租房，重复享受了住房保障待遇。</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深圳市住房和建设局</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罗湖区人民政府</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盐田区人民政府</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坪山区人民政府</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大鹏新区管委会</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光明新区管委会</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罗湖、盐田、大鹏、光明、坪山5个区已全部开通并使用市住房保障信息平台。罗湖、光明2个区已全部开通公共资格核查端口。上述两个问题已完成整改；</w:t>
            </w:r>
            <w:r>
              <w:rPr>
                <w:rFonts w:hint="eastAsia" w:ascii="仿宋_GB2312" w:hAnsi="宋体" w:cs="宋体"/>
                <w:b/>
                <w:bCs/>
                <w:color w:val="000000"/>
                <w:kern w:val="0"/>
                <w:sz w:val="22"/>
              </w:rPr>
              <w:t>二是</w:t>
            </w:r>
            <w:r>
              <w:rPr>
                <w:rFonts w:hint="eastAsia" w:ascii="仿宋_GB2312" w:hAnsi="宋体" w:cs="宋体"/>
                <w:color w:val="000000"/>
                <w:kern w:val="0"/>
                <w:sz w:val="22"/>
              </w:rPr>
              <w:t>9户重复享受住房保障待遇家庭，2017年1月向相关责任单位发函，要求立即落实整改。市本级7人（户）、罗湖区1人（户）、福田区1人（户）已经全部退房。</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（二）深圳市社会保险基金审计情况</w:t>
            </w:r>
          </w:p>
        </w:tc>
        <w:tc>
          <w:tcPr>
            <w:tcW w:w="425" w:type="dxa"/>
            <w:vMerge w:val="restart"/>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37</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少数参保单位涉嫌违法提供挂靠参保</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个别参保单位某段时间参保缴费人数异常增长，社保缴费金额远大于营业收入，涉嫌为不符合参保条件人员提供挂靠参保的违法行为；2.网上存在大量公开招揽挂靠代缴深圳市社保的广告。3.由于目前社保监管执法手段相对传统、单一，主要依靠投诉举报、专项检查等常规执法手段，未能有效建立健全各部门联合执法机制，对上述行为缺乏有效的监管和打击。</w:t>
            </w:r>
          </w:p>
        </w:tc>
        <w:tc>
          <w:tcPr>
            <w:tcW w:w="1984"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深圳市社会保险基金管理局</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市社保局成立案件处理工作领导小组，制订案件查处工作方案、对个别涉案单位和部分涉案参保人进行调查，与市人力资源保障局相关处室和市场监管等部门进行沟通联系，并对涉嫌单位进行重点稽核。</w:t>
            </w:r>
          </w:p>
        </w:tc>
        <w:tc>
          <w:tcPr>
            <w:tcW w:w="2126" w:type="dxa"/>
            <w:vMerge w:val="restart"/>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Merge w:val="continue"/>
            <w:vAlign w:val="center"/>
          </w:tcPr>
          <w:p>
            <w:pPr>
              <w:spacing w:line="240" w:lineRule="auto"/>
              <w:rPr>
                <w:rFonts w:hint="eastAsia" w:ascii="仿宋_GB2312" w:hAnsi="宋体" w:cs="宋体"/>
                <w:kern w:val="0"/>
                <w:sz w:val="22"/>
              </w:rPr>
            </w:pP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建立预警系统，开发参保人数异常变动统计程序，实行信息技术事前核查，已开发完毕；</w:t>
            </w:r>
            <w:r>
              <w:rPr>
                <w:rFonts w:hint="eastAsia" w:ascii="仿宋_GB2312" w:hAnsi="宋体" w:cs="宋体"/>
                <w:b/>
                <w:bCs/>
                <w:color w:val="000000"/>
                <w:kern w:val="0"/>
                <w:sz w:val="22"/>
              </w:rPr>
              <w:t>二是</w:t>
            </w:r>
            <w:r>
              <w:rPr>
                <w:rFonts w:hint="eastAsia" w:ascii="仿宋_GB2312" w:hAnsi="宋体" w:cs="宋体"/>
                <w:color w:val="000000"/>
                <w:kern w:val="0"/>
                <w:sz w:val="22"/>
              </w:rPr>
              <w:t>修订完善地方规章，目前已成立修订医保办法领导小组，下一步将违反参保、骗保等行为纳入该修订后的医保办法；</w:t>
            </w:r>
            <w:r>
              <w:rPr>
                <w:rFonts w:hint="eastAsia" w:ascii="仿宋_GB2312" w:hAnsi="宋体" w:cs="宋体"/>
                <w:b/>
                <w:bCs/>
                <w:color w:val="000000"/>
                <w:kern w:val="0"/>
                <w:sz w:val="22"/>
              </w:rPr>
              <w:t>三是</w:t>
            </w:r>
            <w:r>
              <w:rPr>
                <w:rFonts w:hint="eastAsia" w:ascii="仿宋_GB2312" w:hAnsi="宋体" w:cs="宋体"/>
                <w:color w:val="000000"/>
                <w:kern w:val="0"/>
                <w:sz w:val="22"/>
              </w:rPr>
              <w:t>建立联合执法长效机制，进一步强化部门联动。</w:t>
            </w:r>
          </w:p>
        </w:tc>
        <w:tc>
          <w:tcPr>
            <w:tcW w:w="2126" w:type="dxa"/>
            <w:vMerge w:val="continue"/>
            <w:vAlign w:val="center"/>
          </w:tcPr>
          <w:p>
            <w:pPr>
              <w:spacing w:line="240" w:lineRule="auto"/>
              <w:rPr>
                <w:rFonts w:hint="eastAsia" w:ascii="仿宋_GB2312"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四、重点民生项目和专项资金审计情况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（二）深圳市社会保险基金审计情况</w:t>
            </w:r>
          </w:p>
        </w:tc>
        <w:tc>
          <w:tcPr>
            <w:tcW w:w="425" w:type="dxa"/>
            <w:vMerge w:val="restart"/>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38</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社保基金业务申报和支付管理存在不足</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企业办理社保业务采取网上自行申报的方式，但是市社保基金管理局对用人单位办理社保业务的资格条件缺乏审查，不利于查处虚构劳动关系挂靠参保的行为；2.2016年度有7名参保人员重复领取生育保险津贴，主要原因是系统操作延时导致重复生成支付数据，审计期间市社保基金管理局已追回重复支付款项。</w:t>
            </w:r>
          </w:p>
        </w:tc>
        <w:tc>
          <w:tcPr>
            <w:tcW w:w="1984"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深圳市社会保险基金管理局</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建立预警系统，开发参保人数异常变动统计程序，已开发完毕信息技术事前核查系统；</w:t>
            </w:r>
            <w:r>
              <w:rPr>
                <w:rFonts w:hint="eastAsia" w:ascii="仿宋_GB2312" w:hAnsi="宋体" w:cs="宋体"/>
                <w:b/>
                <w:bCs/>
                <w:color w:val="000000"/>
                <w:kern w:val="0"/>
                <w:sz w:val="22"/>
              </w:rPr>
              <w:t>二是</w:t>
            </w:r>
            <w:r>
              <w:rPr>
                <w:rFonts w:hint="eastAsia" w:ascii="仿宋_GB2312" w:hAnsi="宋体" w:cs="宋体"/>
                <w:color w:val="000000"/>
                <w:kern w:val="0"/>
                <w:sz w:val="22"/>
              </w:rPr>
              <w:t>向市人力资源保障局信息中心提出业务需求，通过信息系统及时掌握疑似挂靠参保单位信息。</w:t>
            </w:r>
          </w:p>
        </w:tc>
        <w:tc>
          <w:tcPr>
            <w:tcW w:w="2126" w:type="dxa"/>
            <w:vMerge w:val="restart"/>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Merge w:val="continue"/>
            <w:vAlign w:val="center"/>
          </w:tcPr>
          <w:p>
            <w:pPr>
              <w:spacing w:line="240" w:lineRule="auto"/>
              <w:rPr>
                <w:rFonts w:hint="eastAsia" w:ascii="仿宋_GB2312" w:hAnsi="宋体" w:cs="宋体"/>
                <w:kern w:val="0"/>
                <w:sz w:val="22"/>
              </w:rPr>
            </w:pP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审计期间，上述款项10.89万元已全部追回。</w:t>
            </w:r>
          </w:p>
        </w:tc>
        <w:tc>
          <w:tcPr>
            <w:tcW w:w="2126" w:type="dxa"/>
            <w:vMerge w:val="continue"/>
            <w:vAlign w:val="center"/>
          </w:tcPr>
          <w:p>
            <w:pPr>
              <w:spacing w:line="240" w:lineRule="auto"/>
              <w:rPr>
                <w:rFonts w:hint="eastAsia" w:ascii="仿宋_GB2312"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（三）深圳金融发展专项资金审计情况</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39</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多支付专项资金</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7家企业的申报资料没有房屋租赁管理部门登记或备案的相关租赁资料、涉及租赁面积1.61万平方米，获批租房补贴173万元。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深圳市人民政府金融发展服务办公室</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市金融办追回未按规定发放的租房补贴173万元。</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40</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档案管理缺位</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金融办未建立金融发展专项资金档案归档制度，专项资金申报及发文审批等资料由经办人员各自保管，经办人员调离岗位未履行资料交接手续，造成申报资料保存不完整、发文审批资料缺失。审计发现，近两年下达的全部63批资助计划中，申报资料保存不完整的有9批，发文审批资料保存不完整的有45批。</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深圳市人民政府金融发展服务办公室</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完善项目档案管理制度，增加了专项资金归档类目并报市档案局审定；</w:t>
            </w:r>
            <w:r>
              <w:rPr>
                <w:rFonts w:hint="eastAsia" w:ascii="仿宋_GB2312" w:hAnsi="宋体" w:cs="宋体"/>
                <w:b/>
                <w:bCs/>
                <w:color w:val="000000"/>
                <w:kern w:val="0"/>
                <w:sz w:val="22"/>
              </w:rPr>
              <w:t>二是</w:t>
            </w:r>
            <w:r>
              <w:rPr>
                <w:rFonts w:hint="eastAsia" w:ascii="仿宋_GB2312" w:hAnsi="宋体" w:cs="宋体"/>
                <w:color w:val="000000"/>
                <w:kern w:val="0"/>
                <w:sz w:val="22"/>
              </w:rPr>
              <w:t>已由档案管理公司落实归档工作。</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五、国有土地使用权出让收支审计情况</w:t>
            </w: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（一）土地整备资金沉淀较大</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41</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土地整备资金沉淀较大</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截至2016年底，市财政委累计支付各区（新区）土地整备资金184.99亿元，各区（新区）、街道实际支出土地整备资金129.06亿元 ，滞留资金55.93亿元。</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深圳市财政委员会</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深圳市土地整备局</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kern w:val="0"/>
                <w:sz w:val="22"/>
              </w:rPr>
              <w:t>目前已将34.5亿元资金支付给各项目单位，其余将按规定调剂给其他有需求的项目单位或退回财政。</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（二）个别企业通过股权变更转让产业用地缺乏监管</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42</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个别企业通过股权变更转让产业用地缺乏监管</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深圳市汽车经销商商会会员单位组建的公司作为唯一竞买人以底价20.58亿元竞得南山区物流用地90532.88平方米，竞得土地两个月后完成该公司98%股权的转让，在无偿获得约2万平方米仓库及物流用房的使用权和收益权后完全退出项目开发建设和经营管理。上述行为违反了《土地出让合同》的约定，有关主管部门存在后续监管不严的问题，不利于实现产业发展目标和保障产业发展质量。</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深圳市经济贸易和信息化委员会</w:t>
            </w:r>
          </w:p>
        </w:tc>
        <w:tc>
          <w:tcPr>
            <w:tcW w:w="4536" w:type="dxa"/>
            <w:vAlign w:val="center"/>
          </w:tcPr>
          <w:p>
            <w:pPr>
              <w:spacing w:line="240" w:lineRule="auto"/>
              <w:rPr>
                <w:rFonts w:hint="eastAsia" w:ascii="仿宋_GB2312" w:hAnsi="宋体" w:cs="宋体"/>
                <w:kern w:val="0"/>
                <w:sz w:val="22"/>
              </w:rPr>
            </w:pPr>
            <w:r>
              <w:rPr>
                <w:rFonts w:hint="eastAsia" w:ascii="仿宋_GB2312" w:hAnsi="宋体" w:cs="宋体"/>
                <w:b/>
                <w:bCs/>
                <w:kern w:val="0"/>
                <w:sz w:val="22"/>
              </w:rPr>
              <w:t>一是</w:t>
            </w:r>
            <w:r>
              <w:rPr>
                <w:rFonts w:hint="eastAsia" w:ascii="仿宋_GB2312" w:hAnsi="宋体" w:cs="宋体"/>
                <w:kern w:val="0"/>
                <w:sz w:val="22"/>
              </w:rPr>
              <w:t>加强项目产业发展监管。各区（新区）将严格按照已签订的产业用地发展协议的约定加强监管。目前，正在研究制定《市经贸信息委重点产业项目遴选实施办法》，拟加强对各区产业项目的备案管理；</w:t>
            </w:r>
            <w:r>
              <w:rPr>
                <w:rFonts w:hint="eastAsia" w:ascii="仿宋_GB2312" w:hAnsi="宋体" w:cs="宋体"/>
                <w:b/>
                <w:bCs/>
                <w:kern w:val="0"/>
                <w:sz w:val="22"/>
              </w:rPr>
              <w:t>二是</w:t>
            </w:r>
            <w:r>
              <w:rPr>
                <w:rFonts w:hint="eastAsia" w:ascii="仿宋_GB2312" w:hAnsi="宋体" w:cs="宋体"/>
                <w:kern w:val="0"/>
                <w:sz w:val="22"/>
              </w:rPr>
              <w:t>加强项目用地监管。市规划国土委正在研究土地使用权出让合同的相关条款，通过完善合同内容规范土地使用权转让、出租行为，进一步加强项目用地监管力度。</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（三）城市更新项目总体进展较慢</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43</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城市更新项目总体进展较慢</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有288个更新单元计划未完成规划，其中从批准更新单元计划起超过5年的有85个；有406个更新单元计划未完成土地出让，其中从批准更新单元计划起超过5年的有139个。</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深圳市规划和国土资源委员会</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深圳市城市更新局</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将加快推动《深圳经济特区城市更新条例》的制定出台；</w:t>
            </w:r>
            <w:r>
              <w:rPr>
                <w:rFonts w:hint="eastAsia" w:ascii="仿宋_GB2312" w:hAnsi="宋体" w:cs="宋体"/>
                <w:b/>
                <w:bCs/>
                <w:color w:val="000000"/>
                <w:kern w:val="0"/>
                <w:sz w:val="22"/>
              </w:rPr>
              <w:t>二是</w:t>
            </w:r>
            <w:r>
              <w:rPr>
                <w:rFonts w:hint="eastAsia" w:ascii="仿宋_GB2312" w:hAnsi="宋体" w:cs="宋体"/>
                <w:color w:val="000000"/>
                <w:kern w:val="0"/>
                <w:sz w:val="22"/>
              </w:rPr>
              <w:t>印发了《关于规范城市更新实施工作若干问题的处理意见（一）》的通知, 对于70个历史遗留项目及纳入 2010 年结转和实施计划等原先由各区申报的更新单元，要求各区梳理进展情况，对于长期无法推进、实施存在困难的更新单元，应在2017年6月底前进行清理，调出计划，结合有关政策的修订和完善，拟对新增城市更新单元计划尝试实行有期限的管理制度，提高项目实施效率。</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六、国有资本和国有企业审计情况</w:t>
            </w: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（一）自主创新奖励扶持资金管理制度不完善</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44</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自主创新奖励扶持资金管理制度不完善</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深圳市国资委对市属企业自主创新奖励扶持暂行办法》（深国资委〔2012〕114号）和《关于促进市属国有企业创新发展的若干措施》（深国资委〔2016〕64号）均未对认定标准、等级确定、奖励金额、资金监管等内容作出明确规定。2016年,市国资委在国有资本经营预算中安排自主创新奖励扶持资金3,000万元,共奖励项目54项，审计发现个别项目未经参与评选直接给予奖励。</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深圳市人民政府国有资产监督管理委员会</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国资委正在研究出台《深圳市属国有企业自主创新奖励扶持办法（试行）》及配套实施细则，目前已进行第三轮修订，明确扶持奖励的全部项目和相应的资金额度、评分标准以及评估办法，并配套组建自主创新信息化管理平台。</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（二）市属国有企业异地投资项目利润总额下滑</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45</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市属国有企业异地投资项目利润总额下滑</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在异地投资项目增加13.89%、投资总额增加的情况下，利润总额较2015年的55.79亿元下滑8.37%，有的项目2015-2016年度亏损达1.22亿元；2.审计发现部分项目的可行性研究报告存在投资项目漏项，对项目运营估计不严谨，对投资风险估计不足，投资项目建设、运营、租售情况与可研报告相差较大等问题。</w:t>
            </w:r>
          </w:p>
        </w:tc>
        <w:tc>
          <w:tcPr>
            <w:tcW w:w="1984" w:type="dxa"/>
            <w:vAlign w:val="center"/>
          </w:tcPr>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深圳市人民政府国有资产监督管理委员会</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深圳市农产品股份有限公司</w:t>
            </w:r>
          </w:p>
          <w:p>
            <w:pPr>
              <w:spacing w:line="240" w:lineRule="auto"/>
              <w:jc w:val="center"/>
              <w:rPr>
                <w:rFonts w:hint="eastAsia" w:ascii="仿宋_GB2312" w:hAnsi="宋体" w:eastAsia="仿宋_GB2312" w:cs="宋体"/>
                <w:color w:val="000000"/>
                <w:kern w:val="0"/>
                <w:sz w:val="22"/>
                <w:lang w:eastAsia="zh-CN"/>
              </w:rPr>
            </w:pPr>
            <w:r>
              <w:rPr>
                <w:rFonts w:hint="eastAsia" w:ascii="仿宋_GB2312" w:hAnsi="宋体" w:cs="宋体"/>
                <w:color w:val="000000"/>
                <w:kern w:val="0"/>
                <w:sz w:val="22"/>
              </w:rPr>
              <w:t>深圳市能源集团股份有限公司</w:t>
            </w:r>
          </w:p>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深圳国际控股有限公司</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市国资委出台了《深圳市属国有企业投资管理暂行规定》、《深圳市属国有企业境外投资管理暂行规定》、《深圳市属国有企业产权变动监管办法》等制度，采取组织直管企业开展异地投资专项审计、建立市属国企重大项目储备库等措施以加强市属国企对投资的监管。启动公司修改章程，规范投资决策程序；印发《市属国有企业主页目录表》，对各直管企业主业范围进行核定，引导企业突出主业，优化资源配置；</w:t>
            </w:r>
            <w:r>
              <w:rPr>
                <w:rFonts w:hint="eastAsia" w:ascii="仿宋_GB2312" w:hAnsi="宋体" w:cs="宋体"/>
                <w:b/>
                <w:bCs/>
                <w:color w:val="000000"/>
                <w:kern w:val="0"/>
                <w:sz w:val="22"/>
              </w:rPr>
              <w:t>二是</w:t>
            </w:r>
            <w:r>
              <w:rPr>
                <w:rFonts w:hint="eastAsia" w:ascii="仿宋_GB2312" w:hAnsi="宋体" w:cs="宋体"/>
                <w:color w:val="000000"/>
                <w:kern w:val="0"/>
                <w:sz w:val="22"/>
              </w:rPr>
              <w:t>农产品公司修订《对外投资管理规定》，优化投资项目决策流程，对公司对外投资授权管理体系进行重新修订，对审批流程进行强化，加入党委会决策审批节点。严格执行项目后评价制度。对沈阳、长春子公司采取积极招商等增收渠道、控制费用等方式减少亏损。对责任公司的主要负责人采取降职、扣发绩效年薪、通报批评等方式进行追责；</w:t>
            </w:r>
            <w:r>
              <w:rPr>
                <w:rFonts w:hint="eastAsia" w:ascii="仿宋_GB2312" w:hAnsi="宋体" w:cs="宋体"/>
                <w:b/>
                <w:bCs/>
                <w:color w:val="000000"/>
                <w:kern w:val="0"/>
                <w:sz w:val="22"/>
              </w:rPr>
              <w:t>三是</w:t>
            </w:r>
            <w:r>
              <w:rPr>
                <w:rFonts w:hint="eastAsia" w:ascii="仿宋_GB2312" w:hAnsi="宋体" w:cs="宋体"/>
                <w:color w:val="000000"/>
                <w:kern w:val="0"/>
                <w:sz w:val="22"/>
              </w:rPr>
              <w:t>能源集团对四川深能公司采取加强设备管理、降低财务费用、提高上网电量、增加售电收入等方式减少亏损；</w:t>
            </w:r>
            <w:r>
              <w:rPr>
                <w:rFonts w:hint="eastAsia" w:ascii="仿宋_GB2312" w:hAnsi="宋体" w:cs="宋体"/>
                <w:b/>
                <w:bCs/>
                <w:color w:val="000000"/>
                <w:kern w:val="0"/>
                <w:sz w:val="22"/>
              </w:rPr>
              <w:t>四是</w:t>
            </w:r>
            <w:r>
              <w:rPr>
                <w:rFonts w:hint="eastAsia" w:ascii="仿宋_GB2312" w:hAnsi="宋体" w:cs="宋体"/>
                <w:color w:val="000000"/>
                <w:kern w:val="0"/>
                <w:sz w:val="22"/>
              </w:rPr>
              <w:t>深圳国际控股有限公司完善投资管理制度，加强中介机构的选聘，对低水平的中介纳入黑名单，落实投资项目管理，加强责任追究力度。沈阳子公司积极开展园区剩余未租赁产品的租赁工作，开展园区增值性服务，加强内部管理，减少亏损。</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六、国有资本和国有企业审计情况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（三）资产股权核算不完整</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46</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资产股权核算不完整</w:t>
            </w:r>
          </w:p>
        </w:tc>
        <w:tc>
          <w:tcPr>
            <w:tcW w:w="2792"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1.深圳市投资控股有限公司（以下简称市投控公司）将全资企业中国深圳对外贸易（集团）有限公司实行债转股改制，改制后持股29.91%，但是仍有已确定为市投控公司资产2.90亿元未体现为股权；2.未纳入债转股范围、应归属市投控公司的土地、房产出租收益5,549.98万元和财政划转历史债权2,307.81万元未记账反映；3.有22项土地房产及产生的收益等资产未确权，没有纳入债转股范围，也未及时建立管理台账，存在国有资产流失风险。4.2016年底市投控公司有67家直属企业，其中33家划转企业长期没有入账,也没有纳入并表范围，总资产29.70亿元、净资产18.23亿元，会计核算不完整。</w:t>
            </w:r>
          </w:p>
        </w:tc>
        <w:tc>
          <w:tcPr>
            <w:tcW w:w="1984"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深圳市投资控股有限公司</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b/>
                <w:bCs/>
                <w:color w:val="000000"/>
                <w:kern w:val="0"/>
                <w:sz w:val="22"/>
              </w:rPr>
              <w:t>一是</w:t>
            </w:r>
            <w:r>
              <w:rPr>
                <w:rFonts w:hint="eastAsia" w:ascii="仿宋_GB2312" w:hAnsi="宋体" w:cs="宋体"/>
                <w:color w:val="000000"/>
                <w:kern w:val="0"/>
                <w:sz w:val="22"/>
              </w:rPr>
              <w:t>300万美元借款已入账，对22项未确权土地已建立台账进行管理；</w:t>
            </w:r>
            <w:r>
              <w:rPr>
                <w:rFonts w:hint="eastAsia" w:ascii="仿宋_GB2312" w:hAnsi="宋体" w:cs="宋体"/>
                <w:b/>
                <w:bCs/>
                <w:color w:val="000000"/>
                <w:kern w:val="0"/>
                <w:sz w:val="22"/>
              </w:rPr>
              <w:t>二是</w:t>
            </w:r>
            <w:r>
              <w:rPr>
                <w:rFonts w:hint="eastAsia" w:ascii="仿宋_GB2312" w:hAnsi="宋体" w:cs="宋体"/>
                <w:color w:val="000000"/>
                <w:kern w:val="0"/>
                <w:sz w:val="22"/>
              </w:rPr>
              <w:t>市投控公司仍就权益调整情况与东方资产管理公司进行谈判。市投控公司与东方公司多次沟通，双方在调整股权比例方式上存在分歧，后续将重点协商原股东权益转为债权的方式，并聘请中介机构对具备评估条件的资产进行评估，以明确转债具体金额;不具备评估条件的，继续跟踪处理；</w:t>
            </w:r>
            <w:r>
              <w:rPr>
                <w:rFonts w:hint="eastAsia" w:ascii="仿宋_GB2312" w:hAnsi="宋体" w:cs="宋体"/>
                <w:b/>
                <w:bCs/>
                <w:color w:val="000000"/>
                <w:kern w:val="0"/>
                <w:sz w:val="22"/>
              </w:rPr>
              <w:t>三是</w:t>
            </w:r>
            <w:r>
              <w:rPr>
                <w:rFonts w:hint="eastAsia" w:ascii="仿宋_GB2312" w:hAnsi="宋体" w:cs="宋体"/>
                <w:color w:val="000000"/>
                <w:kern w:val="0"/>
                <w:sz w:val="22"/>
              </w:rPr>
              <w:t>推动上述工作的同时，推进外贸集团整体股权回购的可行性研究，待各项目实地考查完后，启动回购的立项。</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47</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Merge w:val="continue"/>
            <w:vAlign w:val="center"/>
          </w:tcPr>
          <w:p>
            <w:pPr>
              <w:spacing w:line="240" w:lineRule="auto"/>
              <w:rPr>
                <w:rFonts w:hint="eastAsia" w:ascii="仿宋_GB2312" w:hAnsi="宋体" w:cs="宋体"/>
                <w:color w:val="000000"/>
                <w:kern w:val="0"/>
                <w:sz w:val="22"/>
              </w:rPr>
            </w:pPr>
          </w:p>
        </w:tc>
        <w:tc>
          <w:tcPr>
            <w:tcW w:w="1984" w:type="dxa"/>
            <w:vMerge w:val="continue"/>
            <w:vAlign w:val="center"/>
          </w:tcPr>
          <w:p>
            <w:pPr>
              <w:spacing w:line="240" w:lineRule="auto"/>
              <w:rPr>
                <w:rFonts w:hint="eastAsia" w:ascii="仿宋_GB2312" w:hAnsi="宋体" w:cs="宋体"/>
                <w:color w:val="000000"/>
                <w:kern w:val="0"/>
                <w:sz w:val="22"/>
              </w:rPr>
            </w:pP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市投控公司积极整改，已对划转企业股权进行会计处理，按持股比例、接受后增加投入金额情况共增加“长期股权投资”和“资本公积”共12.3亿元。</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658" w:type="dxa"/>
            <w:vMerge w:val="restart"/>
            <w:vAlign w:val="center"/>
          </w:tcPr>
          <w:p>
            <w:pPr>
              <w:spacing w:line="240" w:lineRule="auto"/>
              <w:jc w:val="center"/>
              <w:rPr>
                <w:rFonts w:hint="eastAsia" w:ascii="仿宋_GB2312" w:hAnsi="宋体" w:cs="宋体"/>
                <w:b/>
                <w:bCs/>
                <w:color w:val="000000"/>
                <w:kern w:val="0"/>
                <w:sz w:val="22"/>
              </w:rPr>
            </w:pPr>
            <w:r>
              <w:rPr>
                <w:rFonts w:hint="eastAsia" w:ascii="仿宋_GB2312" w:hAnsi="宋体" w:cs="宋体"/>
                <w:b/>
                <w:bCs/>
                <w:color w:val="000000"/>
                <w:kern w:val="0"/>
                <w:sz w:val="22"/>
              </w:rPr>
              <w:t>七、政府投资项目跟踪审计情况</w:t>
            </w: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（一）前期工作不到位造成投资失控</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48</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前期工作不到位造成投资失控</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个别建设项目的概算编制、设计等前期工作中存在失误，造成概算突破，导致投资失控。一是设计单位编制的项目概算不严谨。如葵涌环城西路新建工程项目2010年和2016年概算由同一家设计单位编制，该项目丰树山跨线桥在新设计方案较原方案桥梁长度减少265米、桥跨形式未变的情况下，桥梁钢筋工程量和混凝土工程量反而增加，相应增加工程造价1,580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深圳市交通运输委员会</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市发展改革委已对葵涌环城西路新建工程项目概算编制和批复情况进行复核，要求项目建设单位市交通公用设施建设中心制定整改措施，逐一整改。</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49</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前期工作不到位造成投资失控</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二是设计失误导致较大变更。如宝荷医院因设计单位考虑不足，建筑及装饰工程设计变更增加投资1,007万元；该项目在概算第一次调整后仍存在较大设计失误，导致地下室等工程施工图设计与初步设计存在较大偏差，增加投资799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深圳市建筑工务署</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市住建局已对宝荷医院项目设计单位-市筑博设计公司予以通报批评，并将通报情况抄送省住房和城乡建设厅。</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restart"/>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（二）项目施工超合同工期问题较突出</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50</w:t>
            </w:r>
          </w:p>
        </w:tc>
        <w:tc>
          <w:tcPr>
            <w:tcW w:w="1319" w:type="dxa"/>
            <w:vMerge w:val="restart"/>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项目施工超合同工期问题较突出</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有97份结算审计报告揭示了实际施工工期超合同工期的问题，占完成总数的52.7%。如，深圳市大鹏半岛水源工程—东涌水库工程项目第四标段工程因征地拆迁滞后，延期1962天完成；</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深圳市大鹏半岛水源工程管理处</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项目建设单位市大鹏半岛水源工程管理处表示今后将加强与规划国土等有关部门沟通，限定征地拆迁时限，避免工期延误等问题发生。</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Merge w:val="continue"/>
            <w:vAlign w:val="center"/>
          </w:tcPr>
          <w:p>
            <w:pPr>
              <w:spacing w:line="240" w:lineRule="auto"/>
              <w:rPr>
                <w:rFonts w:hint="eastAsia" w:ascii="仿宋_GB2312" w:hAnsi="宋体" w:cs="宋体"/>
                <w:color w:val="000000"/>
                <w:kern w:val="0"/>
                <w:sz w:val="22"/>
              </w:rPr>
            </w:pP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51</w:t>
            </w:r>
          </w:p>
        </w:tc>
        <w:tc>
          <w:tcPr>
            <w:tcW w:w="1319" w:type="dxa"/>
            <w:vMerge w:val="continue"/>
            <w:vAlign w:val="center"/>
          </w:tcPr>
          <w:p>
            <w:pPr>
              <w:spacing w:line="240" w:lineRule="auto"/>
              <w:rPr>
                <w:rFonts w:hint="eastAsia" w:ascii="仿宋_GB2312" w:hAnsi="宋体" w:cs="宋体"/>
                <w:color w:val="000000"/>
                <w:kern w:val="0"/>
                <w:sz w:val="22"/>
              </w:rPr>
            </w:pP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羊台山森林公园石岩入口片区环境综合整治工程项目绿化提升工程因与羊台山综合开发项目冲突而停止施工，延期823天完成。</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深圳市宝安区石岩街道办事处</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市宝安区石岩街道办事处采取以下整改措施：加强前期工作规划、施工过程的管理，加强协调，优化施工方案，加强动态监控，力争有效控制工期。</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（三）工程建设施工管理不规范</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52</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工程建设施工管理不规范</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茅洲河流域（宝安片区）水环境综合整治工程施工合同约定分包商管理实行核批制度，仍有8个标段未经建设单位审批，通过签订劳务分包协议进行分包，金额合计约13.60亿元；个别建设费用核算不合规，宝安区环水局在2016年部门预算中列支建设单位管理服务费2,000万元。</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宝安区人民政府</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宝安区环水局费用开支来源依据区政府会议精神执行，今后将严格按照《深圳经济特区政府投资项目管理条例》等规定执行，规范政府投资项目管理。</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658" w:type="dxa"/>
            <w:vMerge w:val="continue"/>
            <w:vAlign w:val="center"/>
          </w:tcPr>
          <w:p>
            <w:pPr>
              <w:spacing w:line="240" w:lineRule="auto"/>
              <w:rPr>
                <w:rFonts w:hint="eastAsia" w:ascii="仿宋_GB2312" w:hAnsi="宋体" w:cs="宋体"/>
                <w:b/>
                <w:bCs/>
                <w:color w:val="000000"/>
                <w:kern w:val="0"/>
                <w:sz w:val="22"/>
              </w:rPr>
            </w:pPr>
          </w:p>
        </w:tc>
        <w:tc>
          <w:tcPr>
            <w:tcW w:w="1010"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（四）建设项目未完成专项验收即投入使用</w:t>
            </w:r>
          </w:p>
        </w:tc>
        <w:tc>
          <w:tcPr>
            <w:tcW w:w="425"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53</w:t>
            </w:r>
          </w:p>
        </w:tc>
        <w:tc>
          <w:tcPr>
            <w:tcW w:w="1319"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建设项目未完成专项验收即投入使用</w:t>
            </w:r>
          </w:p>
        </w:tc>
        <w:tc>
          <w:tcPr>
            <w:tcW w:w="2792"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南方科技大学校区建设工程（首期）项目于2013年9月交付使用，但截至2017年6月底，规划、环保等两项专项验收尚未完成，影响项目竣工验收和产权登记。</w:t>
            </w:r>
          </w:p>
        </w:tc>
        <w:tc>
          <w:tcPr>
            <w:tcW w:w="1984" w:type="dxa"/>
            <w:vAlign w:val="center"/>
          </w:tcPr>
          <w:p>
            <w:pPr>
              <w:spacing w:line="240" w:lineRule="auto"/>
              <w:jc w:val="center"/>
              <w:rPr>
                <w:rFonts w:hint="eastAsia" w:ascii="仿宋_GB2312" w:hAnsi="宋体" w:cs="宋体"/>
                <w:color w:val="000000"/>
                <w:kern w:val="0"/>
                <w:sz w:val="22"/>
              </w:rPr>
            </w:pPr>
            <w:r>
              <w:rPr>
                <w:rFonts w:hint="eastAsia" w:ascii="仿宋_GB2312" w:hAnsi="宋体" w:cs="宋体"/>
                <w:color w:val="000000"/>
                <w:kern w:val="0"/>
                <w:sz w:val="22"/>
              </w:rPr>
              <w:t>深圳市建筑工务署</w:t>
            </w:r>
          </w:p>
        </w:tc>
        <w:tc>
          <w:tcPr>
            <w:tcW w:w="4536" w:type="dxa"/>
            <w:vAlign w:val="center"/>
          </w:tcPr>
          <w:p>
            <w:pPr>
              <w:spacing w:line="240" w:lineRule="auto"/>
              <w:rPr>
                <w:rFonts w:hint="eastAsia" w:ascii="仿宋_GB2312" w:hAnsi="宋体" w:cs="宋体"/>
                <w:color w:val="000000"/>
                <w:kern w:val="0"/>
                <w:sz w:val="22"/>
              </w:rPr>
            </w:pPr>
            <w:r>
              <w:rPr>
                <w:rFonts w:hint="eastAsia" w:ascii="仿宋_GB2312" w:hAnsi="宋体" w:cs="宋体"/>
                <w:color w:val="000000"/>
                <w:kern w:val="0"/>
                <w:sz w:val="22"/>
              </w:rPr>
              <w:t>市建筑工务署采取以下整改措施：一是市建筑工务署加强与市人居环境委等相关单位的沟通协调，将于近期完成南方科技大学校区建设工程（首期）项目验收工作；二是将在今后工作中做好相关审批的预审工作，规范建设审批程序。</w:t>
            </w:r>
          </w:p>
        </w:tc>
        <w:tc>
          <w:tcPr>
            <w:tcW w:w="2126" w:type="dxa"/>
            <w:vAlign w:val="center"/>
          </w:tcPr>
          <w:p>
            <w:pPr>
              <w:spacing w:line="240" w:lineRule="auto"/>
              <w:jc w:val="center"/>
              <w:rPr>
                <w:rFonts w:hint="eastAsia" w:ascii="仿宋_GB2312" w:hAnsi="宋体" w:cs="宋体"/>
                <w:kern w:val="0"/>
                <w:sz w:val="22"/>
              </w:rPr>
            </w:pPr>
            <w:r>
              <w:rPr>
                <w:rFonts w:hint="eastAsia" w:ascii="仿宋_GB2312" w:hAnsi="宋体" w:cs="宋体"/>
                <w:kern w:val="0"/>
                <w:sz w:val="22"/>
              </w:rPr>
              <w:t xml:space="preserve">正在整改 </w:t>
            </w:r>
          </w:p>
        </w:tc>
      </w:tr>
    </w:tbl>
    <w:p>
      <w:pPr>
        <w:rPr>
          <w:rFonts w:hint="eastAsia" w:ascii="仿宋_GB2312"/>
        </w:rPr>
      </w:pPr>
    </w:p>
    <w:sectPr>
      <w:footerReference r:id="rId6" w:type="default"/>
      <w:footerReference r:id="rId7" w:type="even"/>
      <w:pgSz w:w="16839" w:h="11907" w:orient="landscape"/>
      <w:pgMar w:top="1134" w:right="1134" w:bottom="1134" w:left="1134" w:header="851" w:footer="992" w:gutter="0"/>
      <w:cols w:space="720" w:num="1"/>
      <w:formProt w:val="0"/>
      <w:docGrid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736" w:wrap="around" w:vAnchor="text" w:hAnchor="margin" w:xAlign="outside" w:y="6"/>
      <w:ind w:firstLine="280" w:firstLineChars="100"/>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48</w:t>
    </w:r>
    <w:r>
      <w:rPr>
        <w:sz w:val="28"/>
      </w:rPr>
      <w:fldChar w:fldCharType="end"/>
    </w:r>
    <w:r>
      <w:rPr>
        <w:rStyle w:val="12"/>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80" w:rightChars="15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736" w:wrap="around" w:vAnchor="text" w:hAnchor="margin" w:xAlign="outside" w:y="6"/>
      <w:ind w:firstLine="280" w:firstLineChars="100"/>
      <w:rPr>
        <w:rStyle w:val="12"/>
        <w:color w:val="FFFFFF"/>
        <w:sz w:val="28"/>
      </w:rPr>
    </w:pPr>
    <w:r>
      <w:rPr>
        <w:rStyle w:val="12"/>
        <w:rFonts w:hint="eastAsia"/>
        <w:color w:val="FFFFFF"/>
        <w:sz w:val="28"/>
      </w:rPr>
      <w:t>—</w:t>
    </w:r>
    <w:r>
      <w:rPr>
        <w:color w:val="FFFFFF"/>
        <w:sz w:val="28"/>
      </w:rPr>
      <w:fldChar w:fldCharType="begin"/>
    </w:r>
    <w:r>
      <w:rPr>
        <w:rStyle w:val="12"/>
        <w:color w:val="FFFFFF"/>
        <w:sz w:val="28"/>
      </w:rPr>
      <w:instrText xml:space="preserve">PAGE  </w:instrText>
    </w:r>
    <w:r>
      <w:rPr>
        <w:color w:val="FFFFFF"/>
        <w:sz w:val="28"/>
      </w:rPr>
      <w:fldChar w:fldCharType="separate"/>
    </w:r>
    <w:r>
      <w:rPr>
        <w:rStyle w:val="12"/>
        <w:color w:val="FFFFFF"/>
        <w:sz w:val="28"/>
      </w:rPr>
      <w:t>36</w:t>
    </w:r>
    <w:r>
      <w:rPr>
        <w:color w:val="FFFFFF"/>
        <w:sz w:val="28"/>
      </w:rPr>
      <w:fldChar w:fldCharType="end"/>
    </w:r>
    <w:r>
      <w:rPr>
        <w:rStyle w:val="12"/>
        <w:rFonts w:hint="eastAsia"/>
        <w:color w:val="FFFFFF"/>
        <w:sz w:val="28"/>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zI4MTJhNzcwYjEwZTA4YmEyZmE5ZTY3NDA1N2QifQ=="/>
  </w:docVars>
  <w:rsids>
    <w:rsidRoot w:val="00A55E9D"/>
    <w:rsid w:val="000071FA"/>
    <w:rsid w:val="0003177E"/>
    <w:rsid w:val="0004197E"/>
    <w:rsid w:val="00052313"/>
    <w:rsid w:val="0008038C"/>
    <w:rsid w:val="00080781"/>
    <w:rsid w:val="0013268B"/>
    <w:rsid w:val="002562E9"/>
    <w:rsid w:val="002A72EF"/>
    <w:rsid w:val="00316E21"/>
    <w:rsid w:val="00322DEA"/>
    <w:rsid w:val="00346C2C"/>
    <w:rsid w:val="00350275"/>
    <w:rsid w:val="0036702B"/>
    <w:rsid w:val="00395BD9"/>
    <w:rsid w:val="003B6E38"/>
    <w:rsid w:val="003C7235"/>
    <w:rsid w:val="003F0C4B"/>
    <w:rsid w:val="004047A1"/>
    <w:rsid w:val="00405DB5"/>
    <w:rsid w:val="00424FA8"/>
    <w:rsid w:val="00445DBE"/>
    <w:rsid w:val="0046102B"/>
    <w:rsid w:val="004C14ED"/>
    <w:rsid w:val="004D6672"/>
    <w:rsid w:val="004E0F4E"/>
    <w:rsid w:val="004E4597"/>
    <w:rsid w:val="004F072E"/>
    <w:rsid w:val="00514A61"/>
    <w:rsid w:val="00592829"/>
    <w:rsid w:val="00594654"/>
    <w:rsid w:val="005B20A2"/>
    <w:rsid w:val="005D1361"/>
    <w:rsid w:val="005E142A"/>
    <w:rsid w:val="005F0F22"/>
    <w:rsid w:val="005F413A"/>
    <w:rsid w:val="00631F82"/>
    <w:rsid w:val="0066762E"/>
    <w:rsid w:val="0067244E"/>
    <w:rsid w:val="006934FF"/>
    <w:rsid w:val="006B210F"/>
    <w:rsid w:val="00735D05"/>
    <w:rsid w:val="007A0023"/>
    <w:rsid w:val="007A1E9A"/>
    <w:rsid w:val="007C6D36"/>
    <w:rsid w:val="00812858"/>
    <w:rsid w:val="008156D9"/>
    <w:rsid w:val="00823EDA"/>
    <w:rsid w:val="00843794"/>
    <w:rsid w:val="00864043"/>
    <w:rsid w:val="00894947"/>
    <w:rsid w:val="008E1521"/>
    <w:rsid w:val="00956F21"/>
    <w:rsid w:val="0096506B"/>
    <w:rsid w:val="00966E2C"/>
    <w:rsid w:val="009F3AC7"/>
    <w:rsid w:val="00A07064"/>
    <w:rsid w:val="00A158B2"/>
    <w:rsid w:val="00A2165F"/>
    <w:rsid w:val="00A35D26"/>
    <w:rsid w:val="00A55E9D"/>
    <w:rsid w:val="00A64102"/>
    <w:rsid w:val="00A65148"/>
    <w:rsid w:val="00A65181"/>
    <w:rsid w:val="00AC12AD"/>
    <w:rsid w:val="00B0259B"/>
    <w:rsid w:val="00B042B9"/>
    <w:rsid w:val="00B34111"/>
    <w:rsid w:val="00B65EF6"/>
    <w:rsid w:val="00B72EF9"/>
    <w:rsid w:val="00BB05F3"/>
    <w:rsid w:val="00C05BD2"/>
    <w:rsid w:val="00C31C56"/>
    <w:rsid w:val="00C3403C"/>
    <w:rsid w:val="00C7408C"/>
    <w:rsid w:val="00C85CD4"/>
    <w:rsid w:val="00C95400"/>
    <w:rsid w:val="00CA1DEB"/>
    <w:rsid w:val="00CD5C0F"/>
    <w:rsid w:val="00D22BFC"/>
    <w:rsid w:val="00D52D7B"/>
    <w:rsid w:val="00DD7EAE"/>
    <w:rsid w:val="00DE12F1"/>
    <w:rsid w:val="00E0699F"/>
    <w:rsid w:val="00E30242"/>
    <w:rsid w:val="00E40116"/>
    <w:rsid w:val="00E42AED"/>
    <w:rsid w:val="00E750C6"/>
    <w:rsid w:val="00E96A47"/>
    <w:rsid w:val="00EC25E2"/>
    <w:rsid w:val="00FC25BE"/>
    <w:rsid w:val="00FC2E48"/>
    <w:rsid w:val="467C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style>
  <w:style w:type="paragraph" w:styleId="3">
    <w:name w:val="Body Text"/>
    <w:basedOn w:val="1"/>
    <w:link w:val="16"/>
    <w:uiPriority w:val="0"/>
    <w:pPr>
      <w:ind w:right="214"/>
    </w:pPr>
    <w:rPr>
      <w:rFonts w:ascii="仿宋_GB2312"/>
    </w:rPr>
  </w:style>
  <w:style w:type="paragraph" w:styleId="4">
    <w:name w:val="Balloon Text"/>
    <w:basedOn w:val="1"/>
    <w:link w:val="11"/>
    <w:uiPriority w:val="0"/>
    <w:rPr>
      <w:rFonts w:asciiTheme="minorHAnsi" w:hAnsiTheme="minorHAnsi" w:cstheme="minorBidi"/>
      <w:sz w:val="18"/>
      <w:szCs w:val="18"/>
    </w:rPr>
  </w:style>
  <w:style w:type="paragraph" w:styleId="5">
    <w:name w:val="footer"/>
    <w:basedOn w:val="1"/>
    <w:link w:val="10"/>
    <w:unhideWhenUsed/>
    <w:uiPriority w:val="0"/>
    <w:pPr>
      <w:widowControl w:val="0"/>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6">
    <w:name w:val="header"/>
    <w:basedOn w:val="1"/>
    <w:link w:val="9"/>
    <w:unhideWhenUsed/>
    <w:uiPriority w:val="0"/>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0"/>
    <w:rPr>
      <w:sz w:val="18"/>
      <w:szCs w:val="18"/>
    </w:rPr>
  </w:style>
  <w:style w:type="character" w:customStyle="1" w:styleId="11">
    <w:name w:val="批注框文本 Char"/>
    <w:link w:val="4"/>
    <w:uiPriority w:val="0"/>
    <w:rPr>
      <w:rFonts w:eastAsia="仿宋_GB2312"/>
      <w:sz w:val="18"/>
      <w:szCs w:val="18"/>
    </w:rPr>
  </w:style>
  <w:style w:type="character" w:customStyle="1" w:styleId="12">
    <w:name w:val="页码1"/>
    <w:basedOn w:val="8"/>
    <w:uiPriority w:val="0"/>
  </w:style>
  <w:style w:type="character" w:customStyle="1" w:styleId="13">
    <w:name w:val="批注引用1"/>
    <w:uiPriority w:val="0"/>
    <w:rPr>
      <w:sz w:val="21"/>
    </w:rPr>
  </w:style>
  <w:style w:type="character" w:customStyle="1" w:styleId="14">
    <w:name w:val="批注文字 Char"/>
    <w:basedOn w:val="8"/>
    <w:link w:val="2"/>
    <w:uiPriority w:val="0"/>
    <w:rPr>
      <w:rFonts w:ascii="Times New Roman" w:hAnsi="Times New Roman" w:eastAsia="仿宋_GB2312" w:cs="Times New Roman"/>
      <w:sz w:val="32"/>
      <w:szCs w:val="20"/>
    </w:rPr>
  </w:style>
  <w:style w:type="character" w:customStyle="1" w:styleId="15">
    <w:name w:val="批注框文本 Char1"/>
    <w:basedOn w:val="8"/>
    <w:semiHidden/>
    <w:uiPriority w:val="99"/>
    <w:rPr>
      <w:rFonts w:ascii="Times New Roman" w:hAnsi="Times New Roman" w:eastAsia="仿宋_GB2312" w:cs="Times New Roman"/>
      <w:sz w:val="18"/>
      <w:szCs w:val="18"/>
    </w:rPr>
  </w:style>
  <w:style w:type="character" w:customStyle="1" w:styleId="16">
    <w:name w:val="正文文本 Char"/>
    <w:basedOn w:val="8"/>
    <w:link w:val="3"/>
    <w:uiPriority w:val="0"/>
    <w:rPr>
      <w:rFonts w:ascii="仿宋_GB2312" w:hAnsi="Times New Roman" w:eastAsia="仿宋_GB2312" w:cs="Times New Roman"/>
      <w:sz w:val="32"/>
      <w:szCs w:val="20"/>
    </w:rPr>
  </w:style>
  <w:style w:type="paragraph" w:customStyle="1" w:styleId="17">
    <w:name w:val="正文文本缩进1"/>
    <w:basedOn w:val="1"/>
    <w:uiPriority w:val="0"/>
    <w:pPr>
      <w:ind w:firstLine="630"/>
    </w:pPr>
    <w:rPr>
      <w:rFonts w:ascii="仿宋_GB2312"/>
    </w:rPr>
  </w:style>
  <w:style w:type="paragraph" w:customStyle="1" w:styleId="18">
    <w:name w:val="文档结构图1"/>
    <w:basedOn w:val="1"/>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C50B-80FC-4EEC-A2DC-5F9C43B8D9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13741</Words>
  <Characters>14415</Characters>
  <Lines>107</Lines>
  <Paragraphs>30</Paragraphs>
  <TotalTime>17</TotalTime>
  <ScaleCrop>false</ScaleCrop>
  <LinksUpToDate>false</LinksUpToDate>
  <CharactersWithSpaces>14622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2017-12-05T09:38:00Z</dcterms:created>
  <dc:creator>朱喆</dc:creator>
  <cp:lastModifiedBy>Yang 矒</cp:lastModifiedBy>
  <dcterms:modified xsi:type="dcterms:W3CDTF">2023-04-24T10:06:08Z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3BD54FA561CF4DD4AFA37EEBE3325036_13</vt:lpwstr>
  </property>
</Properties>
</file>