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黑体" w:hAnsi="黑体" w:eastAsia="黑体"/>
        </w:rPr>
      </w:pPr>
      <w:r>
        <w:rPr>
          <w:rFonts w:hint="eastAsia" w:ascii="黑体" w:hAnsi="黑体" w:eastAsia="黑体" w:cs="黑体"/>
        </w:rPr>
        <w:t>附件</w:t>
      </w:r>
    </w:p>
    <w:p>
      <w:pPr>
        <w:spacing w:after="120" w:afterLines="50" w:line="579" w:lineRule="exact"/>
        <w:jc w:val="center"/>
        <w:rPr>
          <w:rFonts w:ascii="方正小标宋_GBK" w:hAnsi="宋体" w:eastAsia="方正小标宋_GBK"/>
          <w:sz w:val="44"/>
          <w:szCs w:val="44"/>
        </w:rPr>
      </w:pPr>
      <w:bookmarkStart w:id="0" w:name="_GoBack"/>
      <w:r>
        <w:rPr>
          <w:rFonts w:hint="eastAsia" w:ascii="方正小标宋_GBK" w:hAnsi="宋体" w:eastAsia="方正小标宋_GBK" w:cs="方正小标宋_GBK"/>
          <w:sz w:val="44"/>
          <w:szCs w:val="44"/>
        </w:rPr>
        <w:t>《深圳市</w:t>
      </w:r>
      <w:r>
        <w:rPr>
          <w:rFonts w:ascii="方正小标宋_GBK" w:hAnsi="宋体" w:eastAsia="方正小标宋_GBK" w:cs="方正小标宋_GBK"/>
          <w:sz w:val="44"/>
          <w:szCs w:val="44"/>
        </w:rPr>
        <w:t>2016</w:t>
      </w:r>
      <w:r>
        <w:rPr>
          <w:rFonts w:hint="eastAsia" w:ascii="方正小标宋_GBK" w:hAnsi="宋体" w:eastAsia="方正小标宋_GBK" w:cs="方正小标宋_GBK"/>
          <w:sz w:val="44"/>
          <w:szCs w:val="44"/>
        </w:rPr>
        <w:t>年度绩效审计工作报告》反映问题整改情况一览表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0"/>
        <w:gridCol w:w="419"/>
        <w:gridCol w:w="81"/>
        <w:gridCol w:w="8"/>
        <w:gridCol w:w="46"/>
        <w:gridCol w:w="25"/>
        <w:gridCol w:w="1179"/>
        <w:gridCol w:w="901"/>
        <w:gridCol w:w="2880"/>
        <w:gridCol w:w="1262"/>
        <w:gridCol w:w="14"/>
        <w:gridCol w:w="6058"/>
        <w:gridCol w:w="23"/>
        <w:gridCol w:w="1284"/>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90" w:hRule="atLeast"/>
          <w:jc w:val="center"/>
        </w:trPr>
        <w:tc>
          <w:tcPr>
            <w:tcW w:w="996" w:type="dxa"/>
            <w:gridSpan w:val="2"/>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58" w:type="dxa"/>
            <w:gridSpan w:val="6"/>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80"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76" w:type="dxa"/>
            <w:gridSpan w:val="2"/>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涉及</w:t>
            </w:r>
          </w:p>
          <w:p>
            <w:pPr>
              <w:spacing w:line="360" w:lineRule="exact"/>
              <w:jc w:val="center"/>
              <w:rPr>
                <w:rFonts w:ascii="仿宋_GB2312" w:hAnsi="Calibri"/>
                <w:b/>
                <w:bCs/>
                <w:sz w:val="28"/>
                <w:szCs w:val="28"/>
              </w:rPr>
            </w:pPr>
            <w:r>
              <w:rPr>
                <w:rFonts w:hint="eastAsia" w:ascii="仿宋_GB2312" w:hAnsi="Calibri" w:cs="仿宋_GB2312"/>
                <w:b/>
                <w:bCs/>
                <w:sz w:val="28"/>
                <w:szCs w:val="28"/>
              </w:rPr>
              <w:t>单位</w:t>
            </w:r>
          </w:p>
        </w:tc>
        <w:tc>
          <w:tcPr>
            <w:tcW w:w="6081" w:type="dxa"/>
            <w:gridSpan w:val="2"/>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12" w:hRule="atLeast"/>
          <w:jc w:val="center"/>
        </w:trPr>
        <w:tc>
          <w:tcPr>
            <w:tcW w:w="996" w:type="dxa"/>
            <w:gridSpan w:val="2"/>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深圳市食品药品安全重大民生工程资金审计调查</w:t>
            </w:r>
          </w:p>
        </w:tc>
        <w:tc>
          <w:tcPr>
            <w:tcW w:w="419" w:type="dxa"/>
            <w:vMerge w:val="restart"/>
            <w:tcBorders>
              <w:right w:val="nil"/>
            </w:tcBorders>
            <w:noWrap w:val="0"/>
            <w:vAlign w:val="center"/>
          </w:tcPr>
          <w:p>
            <w:pPr>
              <w:spacing w:line="360" w:lineRule="exact"/>
              <w:rPr>
                <w:rFonts w:ascii="仿宋_GB2312" w:hAnsi="宋体" w:cs="仿宋_GB2312"/>
                <w:sz w:val="24"/>
                <w:szCs w:val="24"/>
              </w:rPr>
            </w:pPr>
            <w:r>
              <w:rPr>
                <w:rFonts w:ascii="仿宋_GB2312" w:hAnsi="宋体" w:cs="仿宋_GB2312"/>
                <w:sz w:val="24"/>
                <w:szCs w:val="24"/>
              </w:rPr>
              <w:t>1</w:t>
            </w:r>
          </w:p>
        </w:tc>
        <w:tc>
          <w:tcPr>
            <w:tcW w:w="1339" w:type="dxa"/>
            <w:gridSpan w:val="5"/>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kern w:val="0"/>
                <w:sz w:val="24"/>
                <w:szCs w:val="24"/>
              </w:rPr>
              <w:t>食品和食用农产品抽检方面存在不足，抽检结果缺乏严格管理。</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与同年食品抽检量相比，食用农产品抽检量仍然偏低。</w:t>
            </w:r>
          </w:p>
        </w:tc>
        <w:tc>
          <w:tcPr>
            <w:tcW w:w="1276" w:type="dxa"/>
            <w:gridSpan w:val="2"/>
            <w:vMerge w:val="restart"/>
            <w:noWrap w:val="0"/>
            <w:vAlign w:val="center"/>
          </w:tcPr>
          <w:p>
            <w:pPr>
              <w:spacing w:line="360" w:lineRule="exact"/>
              <w:rPr>
                <w:rFonts w:ascii="仿宋_GB2312" w:hAnsi="宋体"/>
                <w:sz w:val="24"/>
                <w:szCs w:val="24"/>
              </w:rPr>
            </w:pPr>
            <w:r>
              <w:rPr>
                <w:rFonts w:hint="eastAsia" w:ascii="仿宋_GB2312" w:hAnsi="宋体" w:cs="仿宋_GB2312"/>
                <w:sz w:val="24"/>
                <w:szCs w:val="24"/>
              </w:rPr>
              <w:t>市市场和质量监管委</w:t>
            </w:r>
          </w:p>
        </w:tc>
        <w:tc>
          <w:tcPr>
            <w:tcW w:w="6081" w:type="dxa"/>
            <w:gridSpan w:val="2"/>
            <w:noWrap w:val="0"/>
            <w:vAlign w:val="center"/>
          </w:tcPr>
          <w:p>
            <w:pPr>
              <w:spacing w:line="360" w:lineRule="exact"/>
              <w:rPr>
                <w:rFonts w:ascii="仿宋_GB2312" w:hAnsi="宋体"/>
                <w:sz w:val="24"/>
                <w:szCs w:val="24"/>
              </w:rPr>
            </w:pPr>
            <w:r>
              <w:rPr>
                <w:rFonts w:hint="eastAsia" w:ascii="仿宋_GB2312" w:hAnsi="宋体" w:cs="仿宋_GB2312"/>
                <w:sz w:val="24"/>
                <w:szCs w:val="24"/>
              </w:rPr>
              <w:t>增加食用农产品抽检批次。</w:t>
            </w:r>
            <w:r>
              <w:rPr>
                <w:rFonts w:ascii="仿宋_GB2312" w:hAnsi="宋体" w:cs="仿宋_GB2312"/>
                <w:sz w:val="24"/>
                <w:szCs w:val="24"/>
              </w:rPr>
              <w:t>2017</w:t>
            </w:r>
            <w:r>
              <w:rPr>
                <w:rFonts w:hint="eastAsia" w:ascii="仿宋_GB2312" w:hAnsi="宋体" w:cs="仿宋_GB2312"/>
                <w:sz w:val="24"/>
                <w:szCs w:val="24"/>
              </w:rPr>
              <w:t>年，计划投入抽检经费</w:t>
            </w:r>
            <w:r>
              <w:rPr>
                <w:rFonts w:ascii="仿宋_GB2312" w:hAnsi="宋体" w:cs="仿宋_GB2312"/>
                <w:sz w:val="24"/>
                <w:szCs w:val="24"/>
              </w:rPr>
              <w:t>1.03</w:t>
            </w:r>
            <w:r>
              <w:rPr>
                <w:rFonts w:hint="eastAsia" w:ascii="仿宋_GB2312" w:hAnsi="宋体" w:cs="仿宋_GB2312"/>
                <w:sz w:val="24"/>
                <w:szCs w:val="24"/>
              </w:rPr>
              <w:t>亿元，比</w:t>
            </w:r>
            <w:r>
              <w:rPr>
                <w:rFonts w:ascii="仿宋_GB2312" w:hAnsi="宋体" w:cs="仿宋_GB2312"/>
                <w:sz w:val="24"/>
                <w:szCs w:val="24"/>
              </w:rPr>
              <w:t>2016</w:t>
            </w:r>
            <w:r>
              <w:rPr>
                <w:rFonts w:hint="eastAsia" w:ascii="仿宋_GB2312" w:hAnsi="宋体" w:cs="仿宋_GB2312"/>
                <w:sz w:val="24"/>
                <w:szCs w:val="24"/>
              </w:rPr>
              <w:t>年增长</w:t>
            </w:r>
            <w:r>
              <w:rPr>
                <w:rFonts w:ascii="仿宋_GB2312" w:hAnsi="宋体" w:cs="仿宋_GB2312"/>
                <w:sz w:val="24"/>
                <w:szCs w:val="24"/>
              </w:rPr>
              <w:t>135%</w:t>
            </w:r>
            <w:r>
              <w:rPr>
                <w:rFonts w:hint="eastAsia" w:ascii="仿宋_GB2312" w:hAnsi="宋体" w:cs="仿宋_GB2312"/>
                <w:sz w:val="24"/>
                <w:szCs w:val="24"/>
              </w:rPr>
              <w:t>；计划完成食用农产品定量抽检</w:t>
            </w:r>
            <w:r>
              <w:rPr>
                <w:rFonts w:ascii="仿宋_GB2312" w:hAnsi="宋体" w:cs="仿宋_GB2312"/>
                <w:sz w:val="24"/>
                <w:szCs w:val="24"/>
              </w:rPr>
              <w:t>67500</w:t>
            </w:r>
            <w:r>
              <w:rPr>
                <w:rFonts w:hint="eastAsia" w:ascii="仿宋_GB2312" w:hAnsi="宋体" w:cs="仿宋_GB2312"/>
                <w:sz w:val="24"/>
                <w:szCs w:val="24"/>
              </w:rPr>
              <w:t>批次，比</w:t>
            </w:r>
            <w:r>
              <w:rPr>
                <w:rFonts w:ascii="仿宋_GB2312" w:hAnsi="宋体" w:cs="仿宋_GB2312"/>
                <w:sz w:val="24"/>
                <w:szCs w:val="24"/>
              </w:rPr>
              <w:t>2016</w:t>
            </w:r>
            <w:r>
              <w:rPr>
                <w:rFonts w:hint="eastAsia" w:ascii="仿宋_GB2312" w:hAnsi="宋体" w:cs="仿宋_GB2312"/>
                <w:sz w:val="24"/>
                <w:szCs w:val="24"/>
              </w:rPr>
              <w:t>年增长</w:t>
            </w:r>
            <w:r>
              <w:rPr>
                <w:rFonts w:ascii="仿宋_GB2312" w:hAnsi="宋体" w:cs="仿宋_GB2312"/>
                <w:sz w:val="24"/>
                <w:szCs w:val="24"/>
              </w:rPr>
              <w:t>70%</w:t>
            </w:r>
            <w:r>
              <w:rPr>
                <w:rFonts w:hint="eastAsia" w:ascii="仿宋_GB2312" w:hAnsi="宋体" w:cs="仿宋_GB2312"/>
                <w:sz w:val="24"/>
                <w:szCs w:val="24"/>
              </w:rPr>
              <w:t>。</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27" w:hRule="atLeast"/>
          <w:jc w:val="center"/>
        </w:trPr>
        <w:tc>
          <w:tcPr>
            <w:tcW w:w="996" w:type="dxa"/>
            <w:gridSpan w:val="2"/>
            <w:vMerge w:val="continue"/>
            <w:tcBorders>
              <w:right w:val="nil"/>
            </w:tcBorders>
            <w:noWrap w:val="0"/>
            <w:vAlign w:val="center"/>
          </w:tcPr>
          <w:p>
            <w:pPr>
              <w:spacing w:line="360" w:lineRule="exact"/>
              <w:rPr>
                <w:rFonts w:ascii="仿宋_GB2312" w:hAnsi="宋体"/>
                <w:sz w:val="24"/>
                <w:szCs w:val="24"/>
              </w:rPr>
            </w:pPr>
          </w:p>
        </w:tc>
        <w:tc>
          <w:tcPr>
            <w:tcW w:w="419" w:type="dxa"/>
            <w:vMerge w:val="continue"/>
            <w:tcBorders>
              <w:right w:val="nil"/>
            </w:tcBorders>
            <w:noWrap w:val="0"/>
            <w:vAlign w:val="center"/>
          </w:tcPr>
          <w:p>
            <w:pPr>
              <w:spacing w:line="360" w:lineRule="exact"/>
              <w:rPr>
                <w:rFonts w:ascii="仿宋_GB2312" w:hAnsi="宋体"/>
                <w:sz w:val="24"/>
                <w:szCs w:val="24"/>
              </w:rPr>
            </w:pPr>
          </w:p>
        </w:tc>
        <w:tc>
          <w:tcPr>
            <w:tcW w:w="1339" w:type="dxa"/>
            <w:gridSpan w:val="5"/>
            <w:vMerge w:val="continue"/>
            <w:tcBorders>
              <w:right w:val="nil"/>
            </w:tcBorders>
            <w:noWrap w:val="0"/>
            <w:vAlign w:val="center"/>
          </w:tcPr>
          <w:p>
            <w:pPr>
              <w:spacing w:line="360" w:lineRule="exact"/>
              <w:rPr>
                <w:rFonts w:ascii="仿宋_GB2312" w:hAnsi="宋体"/>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w:t>
            </w:r>
          </w:p>
        </w:tc>
        <w:tc>
          <w:tcPr>
            <w:tcW w:w="2880" w:type="dxa"/>
            <w:tcBorders>
              <w:right w:val="nil"/>
            </w:tcBorders>
            <w:noWrap w:val="0"/>
            <w:vAlign w:val="center"/>
          </w:tcPr>
          <w:p>
            <w:pPr>
              <w:spacing w:line="360" w:lineRule="exact"/>
              <w:rPr>
                <w:rFonts w:ascii="仿宋_GB2312" w:hAnsi="宋体"/>
                <w:kern w:val="0"/>
                <w:sz w:val="24"/>
                <w:szCs w:val="24"/>
              </w:rPr>
            </w:pPr>
            <w:r>
              <w:rPr>
                <w:rFonts w:hint="eastAsia" w:ascii="仿宋_GB2312" w:hAnsi="宋体" w:cs="仿宋_GB2312"/>
                <w:kern w:val="0"/>
                <w:sz w:val="24"/>
                <w:szCs w:val="24"/>
              </w:rPr>
              <w:t>食品流通领域企业、餐饮领域企业受检率偏低。</w:t>
            </w:r>
          </w:p>
        </w:tc>
        <w:tc>
          <w:tcPr>
            <w:tcW w:w="1276" w:type="dxa"/>
            <w:gridSpan w:val="2"/>
            <w:vMerge w:val="continue"/>
            <w:noWrap w:val="0"/>
            <w:vAlign w:val="center"/>
          </w:tcPr>
          <w:p>
            <w:pPr>
              <w:spacing w:line="360" w:lineRule="exact"/>
              <w:rPr>
                <w:rFonts w:ascii="仿宋_GB2312"/>
                <w:sz w:val="24"/>
                <w:szCs w:val="24"/>
              </w:rPr>
            </w:pPr>
          </w:p>
        </w:tc>
        <w:tc>
          <w:tcPr>
            <w:tcW w:w="6081" w:type="dxa"/>
            <w:gridSpan w:val="2"/>
            <w:noWrap w:val="0"/>
            <w:vAlign w:val="center"/>
          </w:tcPr>
          <w:p>
            <w:pPr>
              <w:spacing w:line="360" w:lineRule="exact"/>
              <w:rPr>
                <w:rFonts w:ascii="仿宋_GB2312" w:hAnsi="宋体"/>
                <w:sz w:val="24"/>
                <w:szCs w:val="24"/>
              </w:rPr>
            </w:pPr>
            <w:r>
              <w:rPr>
                <w:rFonts w:hint="eastAsia" w:ascii="仿宋_GB2312" w:hAnsi="宋体" w:cs="仿宋_GB2312"/>
                <w:sz w:val="24"/>
                <w:szCs w:val="24"/>
              </w:rPr>
              <w:t>做好食品抽检工作安排。提高抽检覆盖率，确保流通和餐饮企业定量抽检量达到</w:t>
            </w:r>
            <w:r>
              <w:rPr>
                <w:rFonts w:ascii="仿宋_GB2312" w:hAnsi="宋体" w:cs="仿宋_GB2312"/>
                <w:sz w:val="24"/>
                <w:szCs w:val="24"/>
              </w:rPr>
              <w:t>20%</w:t>
            </w:r>
            <w:r>
              <w:rPr>
                <w:rFonts w:hint="eastAsia" w:ascii="仿宋_GB2312" w:hAnsi="宋体" w:cs="仿宋_GB2312"/>
                <w:sz w:val="24"/>
                <w:szCs w:val="24"/>
              </w:rPr>
              <w:t>的覆盖率，食品生产企业定量抽检量达到</w:t>
            </w:r>
            <w:r>
              <w:rPr>
                <w:rFonts w:ascii="仿宋_GB2312" w:hAnsi="宋体" w:cs="仿宋_GB2312"/>
                <w:sz w:val="24"/>
                <w:szCs w:val="24"/>
              </w:rPr>
              <w:t>100%</w:t>
            </w:r>
            <w:r>
              <w:rPr>
                <w:rFonts w:hint="eastAsia" w:ascii="仿宋_GB2312" w:hAnsi="宋体" w:cs="仿宋_GB2312"/>
                <w:sz w:val="24"/>
                <w:szCs w:val="24"/>
              </w:rPr>
              <w:t>的覆盖率。</w:t>
            </w:r>
          </w:p>
        </w:tc>
        <w:tc>
          <w:tcPr>
            <w:tcW w:w="1284" w:type="dxa"/>
            <w:noWrap w:val="0"/>
            <w:vAlign w:val="center"/>
          </w:tcPr>
          <w:p>
            <w:pPr>
              <w:spacing w:line="360" w:lineRule="exact"/>
              <w:rPr>
                <w:rFonts w:ascii="仿宋_GB2312"/>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386" w:hRule="atLeast"/>
          <w:jc w:val="center"/>
        </w:trPr>
        <w:tc>
          <w:tcPr>
            <w:tcW w:w="996" w:type="dxa"/>
            <w:gridSpan w:val="2"/>
            <w:vMerge w:val="continue"/>
            <w:tcBorders>
              <w:right w:val="nil"/>
            </w:tcBorders>
            <w:noWrap w:val="0"/>
            <w:vAlign w:val="center"/>
          </w:tcPr>
          <w:p>
            <w:pPr>
              <w:spacing w:line="360" w:lineRule="exact"/>
              <w:rPr>
                <w:rFonts w:ascii="仿宋_GB2312" w:hAnsi="宋体"/>
                <w:sz w:val="24"/>
                <w:szCs w:val="24"/>
              </w:rPr>
            </w:pPr>
          </w:p>
        </w:tc>
        <w:tc>
          <w:tcPr>
            <w:tcW w:w="419" w:type="dxa"/>
            <w:vMerge w:val="continue"/>
            <w:tcBorders>
              <w:right w:val="nil"/>
            </w:tcBorders>
            <w:noWrap w:val="0"/>
            <w:vAlign w:val="center"/>
          </w:tcPr>
          <w:p>
            <w:pPr>
              <w:spacing w:line="360" w:lineRule="exact"/>
              <w:jc w:val="center"/>
              <w:rPr>
                <w:rFonts w:ascii="仿宋_GB2312" w:hAnsi="宋体"/>
                <w:sz w:val="24"/>
                <w:szCs w:val="24"/>
              </w:rPr>
            </w:pPr>
          </w:p>
        </w:tc>
        <w:tc>
          <w:tcPr>
            <w:tcW w:w="1339" w:type="dxa"/>
            <w:gridSpan w:val="5"/>
            <w:vMerge w:val="continue"/>
            <w:tcBorders>
              <w:right w:val="nil"/>
            </w:tcBorders>
            <w:noWrap w:val="0"/>
            <w:vAlign w:val="center"/>
          </w:tcPr>
          <w:p>
            <w:pPr>
              <w:spacing w:line="360" w:lineRule="exact"/>
              <w:rPr>
                <w:rFonts w:ascii="仿宋_GB2312" w:hAnsi="宋体"/>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3</w:t>
            </w:r>
          </w:p>
        </w:tc>
        <w:tc>
          <w:tcPr>
            <w:tcW w:w="2880" w:type="dxa"/>
            <w:tcBorders>
              <w:right w:val="nil"/>
            </w:tcBorders>
            <w:noWrap w:val="0"/>
            <w:vAlign w:val="center"/>
          </w:tcPr>
          <w:p>
            <w:pPr>
              <w:spacing w:line="360" w:lineRule="exact"/>
              <w:rPr>
                <w:rFonts w:ascii="仿宋_GB2312" w:hAnsi="宋体"/>
                <w:kern w:val="0"/>
                <w:sz w:val="24"/>
                <w:szCs w:val="24"/>
              </w:rPr>
            </w:pPr>
            <w:r>
              <w:rPr>
                <w:rFonts w:hint="eastAsia" w:ascii="仿宋_GB2312" w:hAnsi="宋体" w:cs="仿宋_GB2312"/>
                <w:sz w:val="24"/>
                <w:szCs w:val="24"/>
              </w:rPr>
              <w:t>农产品抽检时间安排上不均衡。</w:t>
            </w:r>
          </w:p>
        </w:tc>
        <w:tc>
          <w:tcPr>
            <w:tcW w:w="1276" w:type="dxa"/>
            <w:gridSpan w:val="2"/>
            <w:vMerge w:val="continue"/>
            <w:noWrap w:val="0"/>
            <w:vAlign w:val="center"/>
          </w:tcPr>
          <w:p>
            <w:pPr>
              <w:spacing w:line="360" w:lineRule="exact"/>
              <w:rPr>
                <w:rFonts w:ascii="仿宋_GB2312"/>
                <w:sz w:val="24"/>
                <w:szCs w:val="24"/>
              </w:rPr>
            </w:pPr>
          </w:p>
        </w:tc>
        <w:tc>
          <w:tcPr>
            <w:tcW w:w="6081" w:type="dxa"/>
            <w:gridSpan w:val="2"/>
            <w:noWrap w:val="0"/>
            <w:vAlign w:val="center"/>
          </w:tcPr>
          <w:p>
            <w:pPr>
              <w:spacing w:line="360" w:lineRule="exact"/>
              <w:rPr>
                <w:rFonts w:ascii="仿宋_GB2312" w:hAnsi="宋体"/>
                <w:sz w:val="24"/>
                <w:szCs w:val="24"/>
              </w:rPr>
            </w:pPr>
            <w:r>
              <w:rPr>
                <w:rFonts w:hint="eastAsia" w:ascii="仿宋_GB2312" w:hAnsi="宋体" w:cs="仿宋_GB2312"/>
                <w:sz w:val="24"/>
                <w:szCs w:val="24"/>
              </w:rPr>
              <w:t>统筹规划年度抽检工作。按月份制定详细的抽检计划，并逐项落实到每个辖区和承检机构，规范抽检业务流程，提高抽检准确性。</w:t>
            </w:r>
          </w:p>
        </w:tc>
        <w:tc>
          <w:tcPr>
            <w:tcW w:w="1284" w:type="dxa"/>
            <w:noWrap w:val="0"/>
            <w:vAlign w:val="center"/>
          </w:tcPr>
          <w:p>
            <w:pPr>
              <w:spacing w:line="360" w:lineRule="exact"/>
              <w:rPr>
                <w:rFonts w:ascii="仿宋_GB2312"/>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639" w:hRule="atLeast"/>
          <w:jc w:val="center"/>
        </w:trPr>
        <w:tc>
          <w:tcPr>
            <w:tcW w:w="996" w:type="dxa"/>
            <w:gridSpan w:val="2"/>
            <w:vMerge w:val="continue"/>
            <w:tcBorders>
              <w:right w:val="nil"/>
            </w:tcBorders>
            <w:noWrap w:val="0"/>
            <w:vAlign w:val="center"/>
          </w:tcPr>
          <w:p>
            <w:pPr>
              <w:spacing w:line="360" w:lineRule="exact"/>
              <w:rPr>
                <w:rFonts w:ascii="仿宋_GB2312" w:hAnsi="宋体"/>
                <w:sz w:val="24"/>
                <w:szCs w:val="24"/>
              </w:rPr>
            </w:pPr>
          </w:p>
        </w:tc>
        <w:tc>
          <w:tcPr>
            <w:tcW w:w="419" w:type="dxa"/>
            <w:vMerge w:val="continue"/>
            <w:tcBorders>
              <w:right w:val="nil"/>
            </w:tcBorders>
            <w:noWrap w:val="0"/>
            <w:vAlign w:val="center"/>
          </w:tcPr>
          <w:p>
            <w:pPr>
              <w:spacing w:line="360" w:lineRule="exact"/>
              <w:rPr>
                <w:rFonts w:ascii="仿宋_GB2312" w:hAnsi="宋体"/>
                <w:sz w:val="24"/>
                <w:szCs w:val="24"/>
              </w:rPr>
            </w:pPr>
          </w:p>
        </w:tc>
        <w:tc>
          <w:tcPr>
            <w:tcW w:w="1339" w:type="dxa"/>
            <w:gridSpan w:val="5"/>
            <w:vMerge w:val="continue"/>
            <w:tcBorders>
              <w:right w:val="nil"/>
            </w:tcBorders>
            <w:noWrap w:val="0"/>
            <w:vAlign w:val="center"/>
          </w:tcPr>
          <w:p>
            <w:pPr>
              <w:spacing w:line="360" w:lineRule="exact"/>
              <w:rPr>
                <w:rFonts w:ascii="仿宋_GB2312" w:hAnsi="宋体"/>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4</w:t>
            </w:r>
          </w:p>
        </w:tc>
        <w:tc>
          <w:tcPr>
            <w:tcW w:w="2880" w:type="dxa"/>
            <w:tcBorders>
              <w:right w:val="nil"/>
            </w:tcBorders>
            <w:noWrap w:val="0"/>
            <w:vAlign w:val="center"/>
          </w:tcPr>
          <w:p>
            <w:pPr>
              <w:spacing w:line="360" w:lineRule="exact"/>
              <w:rPr>
                <w:rFonts w:ascii="仿宋_GB2312" w:hAnsi="宋体"/>
                <w:kern w:val="0"/>
                <w:sz w:val="24"/>
                <w:szCs w:val="24"/>
              </w:rPr>
            </w:pPr>
            <w:r>
              <w:rPr>
                <w:rFonts w:hint="eastAsia" w:ascii="仿宋_GB2312" w:hAnsi="宋体" w:cs="仿宋_GB2312"/>
                <w:sz w:val="24"/>
                <w:szCs w:val="24"/>
              </w:rPr>
              <w:t>部分不合格食品的经营者没有得到及时处理。</w:t>
            </w:r>
          </w:p>
        </w:tc>
        <w:tc>
          <w:tcPr>
            <w:tcW w:w="1276" w:type="dxa"/>
            <w:gridSpan w:val="2"/>
            <w:vMerge w:val="continue"/>
            <w:noWrap w:val="0"/>
            <w:vAlign w:val="center"/>
          </w:tcPr>
          <w:p>
            <w:pPr>
              <w:spacing w:line="360" w:lineRule="exact"/>
              <w:rPr>
                <w:rFonts w:ascii="仿宋_GB2312"/>
                <w:sz w:val="24"/>
                <w:szCs w:val="24"/>
              </w:rPr>
            </w:pPr>
          </w:p>
        </w:tc>
        <w:tc>
          <w:tcPr>
            <w:tcW w:w="6081" w:type="dxa"/>
            <w:gridSpan w:val="2"/>
            <w:noWrap w:val="0"/>
            <w:vAlign w:val="center"/>
          </w:tcPr>
          <w:p>
            <w:pPr>
              <w:spacing w:line="360" w:lineRule="exact"/>
              <w:rPr>
                <w:rFonts w:ascii="仿宋_GB2312" w:hAnsi="宋体"/>
                <w:sz w:val="24"/>
                <w:szCs w:val="24"/>
              </w:rPr>
            </w:pPr>
            <w:r>
              <w:rPr>
                <w:rFonts w:hint="eastAsia" w:ascii="仿宋_GB2312" w:hAnsi="宋体" w:cs="仿宋_GB2312"/>
                <w:sz w:val="24"/>
                <w:szCs w:val="24"/>
              </w:rPr>
              <w:t>加大执法检查力度，及时查处食品安全违法行为。市市场和质量监管委已对未进行处理的</w:t>
            </w:r>
            <w:r>
              <w:rPr>
                <w:rFonts w:ascii="仿宋_GB2312" w:hAnsi="宋体" w:cs="仿宋_GB2312"/>
                <w:sz w:val="24"/>
                <w:szCs w:val="24"/>
              </w:rPr>
              <w:t>215</w:t>
            </w:r>
            <w:r>
              <w:rPr>
                <w:rFonts w:hint="eastAsia" w:ascii="仿宋_GB2312" w:hAnsi="宋体" w:cs="仿宋_GB2312"/>
                <w:sz w:val="24"/>
                <w:szCs w:val="24"/>
              </w:rPr>
              <w:t>宗抽检结果进行了处置，其中立案</w:t>
            </w:r>
            <w:r>
              <w:rPr>
                <w:rFonts w:ascii="仿宋_GB2312" w:hAnsi="宋体" w:cs="仿宋_GB2312"/>
                <w:sz w:val="24"/>
                <w:szCs w:val="24"/>
              </w:rPr>
              <w:t>86</w:t>
            </w:r>
            <w:r>
              <w:rPr>
                <w:rFonts w:hint="eastAsia" w:ascii="仿宋_GB2312" w:hAnsi="宋体" w:cs="仿宋_GB2312"/>
                <w:sz w:val="24"/>
                <w:szCs w:val="24"/>
              </w:rPr>
              <w:t>宗，移送公安部门</w:t>
            </w:r>
            <w:r>
              <w:rPr>
                <w:rFonts w:ascii="仿宋_GB2312" w:hAnsi="宋体" w:cs="仿宋_GB2312"/>
                <w:sz w:val="24"/>
                <w:szCs w:val="24"/>
              </w:rPr>
              <w:t>15</w:t>
            </w:r>
            <w:r>
              <w:rPr>
                <w:rFonts w:hint="eastAsia" w:ascii="仿宋_GB2312" w:hAnsi="宋体" w:cs="仿宋_GB2312"/>
                <w:sz w:val="24"/>
                <w:szCs w:val="24"/>
              </w:rPr>
              <w:t>宗，责令改正</w:t>
            </w:r>
            <w:r>
              <w:rPr>
                <w:rFonts w:ascii="仿宋_GB2312" w:hAnsi="宋体" w:cs="仿宋_GB2312"/>
                <w:sz w:val="24"/>
                <w:szCs w:val="24"/>
              </w:rPr>
              <w:t>17</w:t>
            </w:r>
            <w:r>
              <w:rPr>
                <w:rFonts w:hint="eastAsia" w:ascii="仿宋_GB2312" w:hAnsi="宋体" w:cs="仿宋_GB2312"/>
                <w:sz w:val="24"/>
                <w:szCs w:val="24"/>
              </w:rPr>
              <w:t>宗，其余因工厂停业倒闭等情况未作立案处理。该委已按月对立案情况进行核实，督促执法部门对不合格抽检报告及时调查处理。</w:t>
            </w:r>
          </w:p>
        </w:tc>
        <w:tc>
          <w:tcPr>
            <w:tcW w:w="1284" w:type="dxa"/>
            <w:noWrap w:val="0"/>
            <w:vAlign w:val="center"/>
          </w:tcPr>
          <w:p>
            <w:pPr>
              <w:spacing w:line="360" w:lineRule="exact"/>
              <w:rPr>
                <w:rFonts w:ascii="仿宋_GB2312"/>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61" w:hRule="atLeast"/>
          <w:jc w:val="center"/>
        </w:trPr>
        <w:tc>
          <w:tcPr>
            <w:tcW w:w="986"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68" w:type="dxa"/>
            <w:gridSpan w:val="7"/>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80"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76" w:type="dxa"/>
            <w:gridSpan w:val="2"/>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涉及</w:t>
            </w:r>
          </w:p>
          <w:p>
            <w:pPr>
              <w:spacing w:line="360" w:lineRule="exact"/>
              <w:jc w:val="center"/>
              <w:rPr>
                <w:rFonts w:ascii="仿宋_GB2312" w:hAnsi="Calibri"/>
                <w:b/>
                <w:bCs/>
                <w:sz w:val="28"/>
                <w:szCs w:val="28"/>
              </w:rPr>
            </w:pPr>
            <w:r>
              <w:rPr>
                <w:rFonts w:hint="eastAsia" w:ascii="仿宋_GB2312" w:hAnsi="Calibri" w:cs="仿宋_GB2312"/>
                <w:b/>
                <w:bCs/>
                <w:sz w:val="28"/>
                <w:szCs w:val="28"/>
              </w:rPr>
              <w:t>单位</w:t>
            </w:r>
          </w:p>
        </w:tc>
        <w:tc>
          <w:tcPr>
            <w:tcW w:w="6081" w:type="dxa"/>
            <w:gridSpan w:val="2"/>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372" w:hRule="atLeast"/>
          <w:jc w:val="center"/>
        </w:trPr>
        <w:tc>
          <w:tcPr>
            <w:tcW w:w="986"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深圳市食品药品安全重大民生工程资金审计调查</w:t>
            </w:r>
          </w:p>
        </w:tc>
        <w:tc>
          <w:tcPr>
            <w:tcW w:w="510" w:type="dxa"/>
            <w:gridSpan w:val="3"/>
            <w:vMerge w:val="restart"/>
            <w:tcBorders>
              <w:right w:val="nil"/>
            </w:tcBorders>
            <w:noWrap w:val="0"/>
            <w:vAlign w:val="center"/>
          </w:tcPr>
          <w:p>
            <w:pPr>
              <w:spacing w:line="360" w:lineRule="exact"/>
              <w:rPr>
                <w:rFonts w:ascii="仿宋_GB2312" w:hAnsi="宋体" w:cs="仿宋_GB2312"/>
                <w:sz w:val="24"/>
                <w:szCs w:val="24"/>
              </w:rPr>
            </w:pPr>
            <w:r>
              <w:rPr>
                <w:rFonts w:ascii="仿宋_GB2312" w:hAnsi="宋体" w:cs="仿宋_GB2312"/>
                <w:sz w:val="24"/>
                <w:szCs w:val="24"/>
              </w:rPr>
              <w:t>1</w:t>
            </w:r>
          </w:p>
        </w:tc>
        <w:tc>
          <w:tcPr>
            <w:tcW w:w="1258" w:type="dxa"/>
            <w:gridSpan w:val="4"/>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补贴扶持项目评审规定不明确，部分农产品质量安全快速筛查点运行效果不佳。</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5</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快速筛点项目的类别评审规定不够明确，导致专家评审时自由裁量权较大。</w:t>
            </w:r>
          </w:p>
        </w:tc>
        <w:tc>
          <w:tcPr>
            <w:tcW w:w="1276" w:type="dxa"/>
            <w:gridSpan w:val="2"/>
            <w:vMerge w:val="restart"/>
            <w:noWrap w:val="0"/>
            <w:vAlign w:val="center"/>
          </w:tcPr>
          <w:p>
            <w:pPr>
              <w:spacing w:line="360" w:lineRule="exact"/>
              <w:rPr>
                <w:rFonts w:ascii="仿宋_GB2312" w:hAnsi="宋体"/>
                <w:sz w:val="24"/>
                <w:szCs w:val="24"/>
              </w:rPr>
            </w:pPr>
            <w:r>
              <w:rPr>
                <w:rFonts w:hint="eastAsia" w:ascii="仿宋_GB2312" w:hAnsi="宋体" w:cs="仿宋_GB2312"/>
                <w:sz w:val="24"/>
                <w:szCs w:val="24"/>
              </w:rPr>
              <w:t>市市场和质量监管委</w:t>
            </w:r>
          </w:p>
        </w:tc>
        <w:tc>
          <w:tcPr>
            <w:tcW w:w="6081" w:type="dxa"/>
            <w:gridSpan w:val="2"/>
            <w:noWrap w:val="0"/>
            <w:vAlign w:val="center"/>
          </w:tcPr>
          <w:p>
            <w:pPr>
              <w:spacing w:line="360" w:lineRule="exact"/>
              <w:rPr>
                <w:rFonts w:ascii="仿宋_GB2312" w:hAnsi="宋体"/>
                <w:sz w:val="24"/>
                <w:szCs w:val="24"/>
              </w:rPr>
            </w:pPr>
            <w:r>
              <w:rPr>
                <w:rFonts w:ascii="仿宋_GB2312" w:hAnsi="宋体" w:cs="仿宋_GB2312"/>
                <w:sz w:val="24"/>
                <w:szCs w:val="24"/>
              </w:rPr>
              <w:t>1.</w:t>
            </w:r>
            <w:r>
              <w:rPr>
                <w:rFonts w:hint="eastAsia" w:ascii="仿宋_GB2312" w:hAnsi="宋体" w:cs="仿宋_GB2312"/>
                <w:sz w:val="24"/>
                <w:szCs w:val="24"/>
              </w:rPr>
              <w:t>约谈相关企业，开展为期</w:t>
            </w:r>
            <w:r>
              <w:rPr>
                <w:rFonts w:ascii="仿宋_GB2312" w:hAnsi="宋体" w:cs="仿宋_GB2312"/>
                <w:sz w:val="24"/>
                <w:szCs w:val="24"/>
              </w:rPr>
              <w:t>6</w:t>
            </w:r>
            <w:r>
              <w:rPr>
                <w:rFonts w:hint="eastAsia" w:ascii="仿宋_GB2312" w:hAnsi="宋体" w:cs="仿宋_GB2312"/>
                <w:sz w:val="24"/>
                <w:szCs w:val="24"/>
              </w:rPr>
              <w:t>个月的整改工作。</w:t>
            </w:r>
          </w:p>
          <w:p>
            <w:pPr>
              <w:spacing w:line="360" w:lineRule="exact"/>
              <w:rPr>
                <w:rFonts w:ascii="仿宋_GB2312" w:hAnsi="宋体"/>
                <w:sz w:val="24"/>
                <w:szCs w:val="24"/>
              </w:rPr>
            </w:pPr>
            <w:r>
              <w:rPr>
                <w:rFonts w:ascii="仿宋_GB2312" w:hAnsi="宋体" w:cs="仿宋_GB2312"/>
                <w:sz w:val="24"/>
                <w:szCs w:val="24"/>
              </w:rPr>
              <w:t>2.</w:t>
            </w:r>
            <w:r>
              <w:rPr>
                <w:rFonts w:hint="eastAsia" w:ascii="仿宋_GB2312" w:hAnsi="宋体" w:cs="仿宋_GB2312"/>
                <w:sz w:val="24"/>
                <w:szCs w:val="24"/>
              </w:rPr>
              <w:t>进一步优化和完善扶持项目评审细则，规范评审自由裁量权的行使。</w:t>
            </w:r>
          </w:p>
          <w:p>
            <w:pPr>
              <w:spacing w:line="360" w:lineRule="exact"/>
              <w:rPr>
                <w:rFonts w:ascii="仿宋_GB2312" w:hAnsi="宋体"/>
                <w:sz w:val="24"/>
                <w:szCs w:val="24"/>
              </w:rPr>
            </w:pPr>
            <w:r>
              <w:rPr>
                <w:rFonts w:ascii="仿宋_GB2312" w:hAnsi="宋体" w:cs="仿宋_GB2312"/>
                <w:sz w:val="24"/>
                <w:szCs w:val="24"/>
              </w:rPr>
              <w:t>3.</w:t>
            </w:r>
            <w:r>
              <w:rPr>
                <w:rFonts w:hint="eastAsia" w:ascii="仿宋_GB2312" w:hAnsi="宋体" w:cs="仿宋_GB2312"/>
                <w:sz w:val="24"/>
                <w:szCs w:val="24"/>
              </w:rPr>
              <w:t>健全评审专家管理制度，从严执行评分规定，保证评审工作客观、公正。</w:t>
            </w:r>
          </w:p>
        </w:tc>
        <w:tc>
          <w:tcPr>
            <w:tcW w:w="1284" w:type="dxa"/>
            <w:noWrap w:val="0"/>
            <w:vAlign w:val="center"/>
          </w:tcPr>
          <w:p>
            <w:pPr>
              <w:spacing w:line="36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42" w:hRule="atLeast"/>
          <w:jc w:val="center"/>
        </w:trPr>
        <w:tc>
          <w:tcPr>
            <w:tcW w:w="986" w:type="dxa"/>
            <w:vMerge w:val="continue"/>
            <w:tcBorders>
              <w:right w:val="nil"/>
            </w:tcBorders>
            <w:noWrap w:val="0"/>
            <w:vAlign w:val="center"/>
          </w:tcPr>
          <w:p>
            <w:pPr>
              <w:spacing w:line="360" w:lineRule="exact"/>
              <w:rPr>
                <w:rFonts w:ascii="仿宋_GB2312" w:hAnsi="宋体"/>
                <w:sz w:val="24"/>
                <w:szCs w:val="24"/>
              </w:rPr>
            </w:pPr>
          </w:p>
        </w:tc>
        <w:tc>
          <w:tcPr>
            <w:tcW w:w="510" w:type="dxa"/>
            <w:gridSpan w:val="3"/>
            <w:vMerge w:val="continue"/>
            <w:tcBorders>
              <w:right w:val="nil"/>
            </w:tcBorders>
            <w:noWrap w:val="0"/>
            <w:vAlign w:val="center"/>
          </w:tcPr>
          <w:p>
            <w:pPr>
              <w:spacing w:line="360" w:lineRule="exact"/>
              <w:rPr>
                <w:rFonts w:ascii="仿宋_GB2312" w:hAnsi="宋体"/>
                <w:sz w:val="24"/>
                <w:szCs w:val="24"/>
              </w:rPr>
            </w:pPr>
          </w:p>
        </w:tc>
        <w:tc>
          <w:tcPr>
            <w:tcW w:w="1258" w:type="dxa"/>
            <w:gridSpan w:val="4"/>
            <w:vMerge w:val="continue"/>
            <w:tcBorders>
              <w:right w:val="nil"/>
            </w:tcBorders>
            <w:noWrap w:val="0"/>
            <w:vAlign w:val="center"/>
          </w:tcPr>
          <w:p>
            <w:pPr>
              <w:spacing w:line="360" w:lineRule="exact"/>
              <w:rPr>
                <w:rFonts w:ascii="仿宋_GB2312" w:hAnsi="宋体"/>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6</w:t>
            </w:r>
          </w:p>
        </w:tc>
        <w:tc>
          <w:tcPr>
            <w:tcW w:w="2880" w:type="dxa"/>
            <w:tcBorders>
              <w:right w:val="nil"/>
            </w:tcBorders>
            <w:noWrap w:val="0"/>
            <w:vAlign w:val="center"/>
          </w:tcPr>
          <w:p>
            <w:pPr>
              <w:spacing w:line="360" w:lineRule="exact"/>
              <w:jc w:val="left"/>
              <w:rPr>
                <w:rFonts w:ascii="仿宋_GB2312" w:hAnsi="宋体"/>
                <w:sz w:val="24"/>
                <w:szCs w:val="24"/>
              </w:rPr>
            </w:pPr>
            <w:r>
              <w:rPr>
                <w:rFonts w:hint="eastAsia" w:ascii="仿宋_GB2312" w:hAnsi="宋体" w:cs="仿宋_GB2312"/>
                <w:sz w:val="24"/>
                <w:szCs w:val="24"/>
              </w:rPr>
              <w:t>部分快速筛查点项目未正常运行或运行效果不佳。</w:t>
            </w:r>
          </w:p>
        </w:tc>
        <w:tc>
          <w:tcPr>
            <w:tcW w:w="1276" w:type="dxa"/>
            <w:gridSpan w:val="2"/>
            <w:vMerge w:val="continue"/>
            <w:noWrap w:val="0"/>
            <w:vAlign w:val="center"/>
          </w:tcPr>
          <w:p>
            <w:pPr>
              <w:spacing w:line="360" w:lineRule="exact"/>
              <w:rPr>
                <w:rFonts w:ascii="仿宋_GB2312" w:hAnsi="宋体"/>
                <w:sz w:val="24"/>
                <w:szCs w:val="24"/>
              </w:rPr>
            </w:pPr>
          </w:p>
        </w:tc>
        <w:tc>
          <w:tcPr>
            <w:tcW w:w="6081" w:type="dxa"/>
            <w:gridSpan w:val="2"/>
            <w:noWrap w:val="0"/>
            <w:vAlign w:val="center"/>
          </w:tcPr>
          <w:p>
            <w:pPr>
              <w:spacing w:line="360" w:lineRule="exact"/>
              <w:rPr>
                <w:rFonts w:ascii="仿宋_GB2312" w:hAnsi="宋体"/>
                <w:sz w:val="24"/>
                <w:szCs w:val="24"/>
              </w:rPr>
            </w:pPr>
            <w:r>
              <w:rPr>
                <w:rFonts w:hint="eastAsia" w:ascii="仿宋_GB2312" w:hAnsi="宋体" w:cs="仿宋_GB2312"/>
                <w:sz w:val="24"/>
                <w:szCs w:val="24"/>
              </w:rPr>
              <w:t>建立快速筛查点项目日常监管机制，将农产品质量快速筛查点纳入辖区局日常巡查工作范畴，确保农产品质量。</w:t>
            </w:r>
          </w:p>
        </w:tc>
        <w:tc>
          <w:tcPr>
            <w:tcW w:w="1284" w:type="dxa"/>
            <w:noWrap w:val="0"/>
            <w:vAlign w:val="center"/>
          </w:tcPr>
          <w:p>
            <w:pPr>
              <w:spacing w:line="36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778" w:hRule="atLeast"/>
          <w:jc w:val="center"/>
        </w:trPr>
        <w:tc>
          <w:tcPr>
            <w:tcW w:w="986" w:type="dxa"/>
            <w:vMerge w:val="continue"/>
            <w:tcBorders>
              <w:right w:val="nil"/>
            </w:tcBorders>
            <w:noWrap w:val="0"/>
            <w:vAlign w:val="center"/>
          </w:tcPr>
          <w:p>
            <w:pPr>
              <w:spacing w:line="360" w:lineRule="exact"/>
              <w:rPr>
                <w:rFonts w:ascii="仿宋_GB2312" w:hAnsi="宋体"/>
                <w:sz w:val="24"/>
                <w:szCs w:val="24"/>
              </w:rPr>
            </w:pPr>
          </w:p>
        </w:tc>
        <w:tc>
          <w:tcPr>
            <w:tcW w:w="510" w:type="dxa"/>
            <w:gridSpan w:val="3"/>
            <w:vMerge w:val="continue"/>
            <w:tcBorders>
              <w:right w:val="nil"/>
            </w:tcBorders>
            <w:noWrap w:val="0"/>
            <w:vAlign w:val="center"/>
          </w:tcPr>
          <w:p>
            <w:pPr>
              <w:spacing w:line="360" w:lineRule="exact"/>
              <w:rPr>
                <w:rFonts w:ascii="仿宋_GB2312" w:hAnsi="宋体"/>
                <w:sz w:val="24"/>
                <w:szCs w:val="24"/>
              </w:rPr>
            </w:pPr>
          </w:p>
        </w:tc>
        <w:tc>
          <w:tcPr>
            <w:tcW w:w="1258" w:type="dxa"/>
            <w:gridSpan w:val="4"/>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有些项目合同条款不合理，资金支付不规范，存在资金损失风险。</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7</w:t>
            </w:r>
          </w:p>
        </w:tc>
        <w:tc>
          <w:tcPr>
            <w:tcW w:w="2880" w:type="dxa"/>
            <w:tcBorders>
              <w:right w:val="nil"/>
            </w:tcBorders>
            <w:noWrap w:val="0"/>
            <w:vAlign w:val="center"/>
          </w:tcPr>
          <w:p>
            <w:pPr>
              <w:spacing w:line="360" w:lineRule="exact"/>
              <w:jc w:val="left"/>
              <w:rPr>
                <w:rFonts w:ascii="仿宋_GB2312" w:hAnsi="宋体"/>
                <w:sz w:val="24"/>
                <w:szCs w:val="24"/>
              </w:rPr>
            </w:pPr>
            <w:r>
              <w:rPr>
                <w:rFonts w:hint="eastAsia" w:ascii="仿宋_GB2312" w:hAnsi="宋体" w:cs="仿宋_GB2312"/>
                <w:sz w:val="24"/>
                <w:szCs w:val="24"/>
              </w:rPr>
              <w:t>部分合同的支付条款不合理。</w:t>
            </w:r>
          </w:p>
        </w:tc>
        <w:tc>
          <w:tcPr>
            <w:tcW w:w="1276" w:type="dxa"/>
            <w:gridSpan w:val="2"/>
            <w:vMerge w:val="continue"/>
            <w:noWrap w:val="0"/>
            <w:vAlign w:val="center"/>
          </w:tcPr>
          <w:p>
            <w:pPr>
              <w:spacing w:line="360" w:lineRule="exact"/>
              <w:rPr>
                <w:rFonts w:ascii="仿宋_GB2312" w:hAnsi="宋体"/>
                <w:sz w:val="24"/>
                <w:szCs w:val="24"/>
              </w:rPr>
            </w:pPr>
          </w:p>
        </w:tc>
        <w:tc>
          <w:tcPr>
            <w:tcW w:w="6081" w:type="dxa"/>
            <w:gridSpan w:val="2"/>
            <w:noWrap w:val="0"/>
            <w:vAlign w:val="center"/>
          </w:tcPr>
          <w:p>
            <w:pPr>
              <w:spacing w:line="360" w:lineRule="exact"/>
              <w:rPr>
                <w:rFonts w:ascii="仿宋_GB2312" w:hAnsi="宋体"/>
                <w:sz w:val="24"/>
                <w:szCs w:val="24"/>
              </w:rPr>
            </w:pPr>
            <w:r>
              <w:rPr>
                <w:rFonts w:hint="eastAsia" w:ascii="仿宋_GB2312" w:hAnsi="宋体" w:cs="仿宋_GB2312"/>
                <w:sz w:val="24"/>
                <w:szCs w:val="24"/>
              </w:rPr>
              <w:t>规范合同管理工作，严格把关合同支付条款，加强项目管理和支付审核。</w:t>
            </w:r>
          </w:p>
        </w:tc>
        <w:tc>
          <w:tcPr>
            <w:tcW w:w="1284" w:type="dxa"/>
            <w:noWrap w:val="0"/>
            <w:vAlign w:val="center"/>
          </w:tcPr>
          <w:p>
            <w:pPr>
              <w:spacing w:line="36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359" w:hRule="atLeast"/>
          <w:jc w:val="center"/>
        </w:trPr>
        <w:tc>
          <w:tcPr>
            <w:tcW w:w="986" w:type="dxa"/>
            <w:vMerge w:val="continue"/>
            <w:tcBorders>
              <w:right w:val="nil"/>
            </w:tcBorders>
            <w:noWrap w:val="0"/>
            <w:vAlign w:val="center"/>
          </w:tcPr>
          <w:p>
            <w:pPr>
              <w:spacing w:line="360" w:lineRule="exact"/>
              <w:rPr>
                <w:rFonts w:ascii="仿宋_GB2312" w:hAnsi="仿宋"/>
                <w:sz w:val="24"/>
                <w:szCs w:val="24"/>
              </w:rPr>
            </w:pPr>
          </w:p>
        </w:tc>
        <w:tc>
          <w:tcPr>
            <w:tcW w:w="510" w:type="dxa"/>
            <w:gridSpan w:val="3"/>
            <w:vMerge w:val="continue"/>
            <w:tcBorders>
              <w:right w:val="nil"/>
            </w:tcBorders>
            <w:noWrap w:val="0"/>
            <w:vAlign w:val="center"/>
          </w:tcPr>
          <w:p>
            <w:pPr>
              <w:spacing w:line="360" w:lineRule="exact"/>
              <w:rPr>
                <w:rFonts w:ascii="仿宋_GB2312" w:hAnsi="仿宋"/>
                <w:sz w:val="24"/>
                <w:szCs w:val="24"/>
              </w:rPr>
            </w:pPr>
          </w:p>
        </w:tc>
        <w:tc>
          <w:tcPr>
            <w:tcW w:w="1258" w:type="dxa"/>
            <w:gridSpan w:val="4"/>
            <w:vMerge w:val="continue"/>
            <w:tcBorders>
              <w:right w:val="nil"/>
            </w:tcBorders>
            <w:noWrap w:val="0"/>
            <w:vAlign w:val="center"/>
          </w:tcPr>
          <w:p>
            <w:pPr>
              <w:spacing w:line="360" w:lineRule="exact"/>
              <w:rPr>
                <w:rFonts w:ascii="仿宋_GB2312" w:hAnsi="仿宋"/>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8</w:t>
            </w:r>
          </w:p>
        </w:tc>
        <w:tc>
          <w:tcPr>
            <w:tcW w:w="2880" w:type="dxa"/>
            <w:tcBorders>
              <w:right w:val="nil"/>
            </w:tcBorders>
            <w:noWrap w:val="0"/>
            <w:vAlign w:val="center"/>
          </w:tcPr>
          <w:p>
            <w:pPr>
              <w:spacing w:line="360" w:lineRule="exact"/>
              <w:jc w:val="left"/>
              <w:rPr>
                <w:rFonts w:ascii="仿宋_GB2312" w:hAnsi="宋体"/>
                <w:sz w:val="24"/>
                <w:szCs w:val="24"/>
              </w:rPr>
            </w:pPr>
            <w:r>
              <w:rPr>
                <w:rFonts w:hint="eastAsia" w:ascii="仿宋_GB2312" w:hAnsi="宋体" w:cs="仿宋_GB2312"/>
                <w:sz w:val="24"/>
                <w:szCs w:val="24"/>
              </w:rPr>
              <w:t>部分项目未按合同条款规定支付款项或在项目未完成情况下提前验收付款。</w:t>
            </w:r>
          </w:p>
        </w:tc>
        <w:tc>
          <w:tcPr>
            <w:tcW w:w="1276" w:type="dxa"/>
            <w:gridSpan w:val="2"/>
            <w:vMerge w:val="continue"/>
            <w:noWrap w:val="0"/>
            <w:vAlign w:val="center"/>
          </w:tcPr>
          <w:p>
            <w:pPr>
              <w:spacing w:line="360" w:lineRule="exact"/>
              <w:rPr>
                <w:rFonts w:ascii="仿宋_GB2312" w:hAnsi="仿宋"/>
                <w:sz w:val="24"/>
                <w:szCs w:val="24"/>
              </w:rPr>
            </w:pPr>
          </w:p>
        </w:tc>
        <w:tc>
          <w:tcPr>
            <w:tcW w:w="6081" w:type="dxa"/>
            <w:gridSpan w:val="2"/>
            <w:noWrap w:val="0"/>
            <w:vAlign w:val="center"/>
          </w:tcPr>
          <w:p>
            <w:pPr>
              <w:spacing w:line="360" w:lineRule="exact"/>
              <w:rPr>
                <w:rFonts w:ascii="仿宋_GB2312" w:hAnsi="宋体"/>
                <w:sz w:val="24"/>
                <w:szCs w:val="24"/>
              </w:rPr>
            </w:pPr>
            <w:r>
              <w:rPr>
                <w:rFonts w:ascii="仿宋_GB2312" w:hAnsi="宋体" w:cs="仿宋_GB2312"/>
                <w:sz w:val="24"/>
                <w:szCs w:val="24"/>
              </w:rPr>
              <w:t>1.</w:t>
            </w:r>
            <w:r>
              <w:rPr>
                <w:rFonts w:hint="eastAsia" w:ascii="仿宋_GB2312" w:hAnsi="宋体" w:cs="仿宋_GB2312"/>
                <w:sz w:val="24"/>
                <w:szCs w:val="24"/>
              </w:rPr>
              <w:t>加强提前支付合同的执行监管，及时跟踪合同完成情况，并对合同管理存在问题的相关承办单位和经办人进行了批评教育，防止类似情况再次发生。</w:t>
            </w:r>
          </w:p>
          <w:p>
            <w:pPr>
              <w:spacing w:line="360" w:lineRule="exact"/>
              <w:rPr>
                <w:rFonts w:ascii="仿宋_GB2312" w:hAnsi="宋体"/>
                <w:sz w:val="24"/>
                <w:szCs w:val="24"/>
              </w:rPr>
            </w:pPr>
            <w:r>
              <w:rPr>
                <w:rFonts w:ascii="仿宋_GB2312" w:hAnsi="宋体" w:cs="仿宋_GB2312"/>
                <w:sz w:val="24"/>
                <w:szCs w:val="24"/>
              </w:rPr>
              <w:t>2.</w:t>
            </w:r>
            <w:r>
              <w:rPr>
                <w:rFonts w:hint="eastAsia" w:ascii="仿宋_GB2312" w:hAnsi="宋体" w:cs="仿宋_GB2312"/>
                <w:sz w:val="24"/>
                <w:szCs w:val="24"/>
              </w:rPr>
              <w:t>做好项目招标工作，并加强对中标单位的监督，确保按时按质完成项目任务。</w:t>
            </w:r>
          </w:p>
        </w:tc>
        <w:tc>
          <w:tcPr>
            <w:tcW w:w="1284" w:type="dxa"/>
            <w:noWrap w:val="0"/>
            <w:vAlign w:val="center"/>
          </w:tcPr>
          <w:p>
            <w:pPr>
              <w:spacing w:line="360" w:lineRule="exact"/>
              <w:rPr>
                <w:rFonts w:ascii="仿宋_GB2312" w:hAnsi="仿宋"/>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86"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68" w:type="dxa"/>
            <w:gridSpan w:val="7"/>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80"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62" w:type="dxa"/>
            <w:noWrap w:val="0"/>
            <w:vAlign w:val="center"/>
          </w:tcPr>
          <w:p>
            <w:pPr>
              <w:spacing w:line="360" w:lineRule="exact"/>
              <w:jc w:val="center"/>
              <w:rPr>
                <w:rFonts w:hint="eastAsia" w:ascii="仿宋_GB2312" w:hAnsi="Calibri" w:cs="仿宋_GB2312"/>
                <w:b/>
                <w:bCs/>
                <w:sz w:val="28"/>
                <w:szCs w:val="28"/>
              </w:rPr>
            </w:pPr>
            <w:r>
              <w:rPr>
                <w:rFonts w:hint="eastAsia" w:ascii="仿宋_GB2312" w:hAnsi="Calibri" w:cs="仿宋_GB2312"/>
                <w:b/>
                <w:bCs/>
                <w:sz w:val="28"/>
                <w:szCs w:val="28"/>
              </w:rPr>
              <w:t>涉及</w:t>
            </w:r>
          </w:p>
          <w:p>
            <w:pPr>
              <w:spacing w:line="360" w:lineRule="exact"/>
              <w:jc w:val="center"/>
              <w:rPr>
                <w:rFonts w:ascii="仿宋_GB2312" w:hAnsi="Calibri"/>
                <w:b/>
                <w:bCs/>
                <w:sz w:val="28"/>
                <w:szCs w:val="28"/>
              </w:rPr>
            </w:pPr>
            <w:r>
              <w:rPr>
                <w:rFonts w:hint="eastAsia" w:ascii="仿宋_GB2312" w:hAnsi="Calibri" w:cs="仿宋_GB2312"/>
                <w:b/>
                <w:bCs/>
                <w:sz w:val="28"/>
                <w:szCs w:val="28"/>
              </w:rPr>
              <w:t>单位</w:t>
            </w:r>
          </w:p>
        </w:tc>
        <w:tc>
          <w:tcPr>
            <w:tcW w:w="6095" w:type="dxa"/>
            <w:gridSpan w:val="3"/>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304" w:type="dxa"/>
            <w:gridSpan w:val="2"/>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986" w:type="dxa"/>
            <w:tcBorders>
              <w:right w:val="nil"/>
            </w:tcBorders>
            <w:noWrap w:val="0"/>
            <w:vAlign w:val="center"/>
          </w:tcPr>
          <w:p>
            <w:pPr>
              <w:spacing w:line="320" w:lineRule="exact"/>
              <w:rPr>
                <w:rFonts w:ascii="仿宋_GB2312" w:hAnsi="宋体"/>
                <w:sz w:val="24"/>
                <w:szCs w:val="24"/>
              </w:rPr>
            </w:pPr>
            <w:r>
              <w:rPr>
                <w:rFonts w:hint="eastAsia" w:ascii="仿宋_GB2312" w:hAnsi="宋体" w:cs="仿宋_GB2312"/>
                <w:sz w:val="24"/>
                <w:szCs w:val="24"/>
              </w:rPr>
              <w:t>深圳市水污染防治资金绩效审计</w:t>
            </w:r>
          </w:p>
        </w:tc>
        <w:tc>
          <w:tcPr>
            <w:tcW w:w="518" w:type="dxa"/>
            <w:gridSpan w:val="4"/>
            <w:tcBorders>
              <w:right w:val="nil"/>
            </w:tcBorders>
            <w:noWrap w:val="0"/>
            <w:vAlign w:val="center"/>
          </w:tcPr>
          <w:p>
            <w:pPr>
              <w:spacing w:line="320" w:lineRule="exact"/>
              <w:jc w:val="center"/>
              <w:rPr>
                <w:rFonts w:ascii="仿宋_GB2312" w:hAnsi="宋体" w:cs="仿宋_GB2312"/>
                <w:sz w:val="24"/>
                <w:szCs w:val="24"/>
              </w:rPr>
            </w:pPr>
            <w:r>
              <w:rPr>
                <w:rFonts w:ascii="仿宋_GB2312" w:hAnsi="宋体" w:cs="仿宋_GB2312"/>
                <w:sz w:val="24"/>
                <w:szCs w:val="24"/>
              </w:rPr>
              <w:t xml:space="preserve">2 </w:t>
            </w:r>
          </w:p>
        </w:tc>
        <w:tc>
          <w:tcPr>
            <w:tcW w:w="1250" w:type="dxa"/>
            <w:gridSpan w:val="3"/>
            <w:tcBorders>
              <w:right w:val="nil"/>
            </w:tcBorders>
            <w:noWrap w:val="0"/>
            <w:vAlign w:val="center"/>
          </w:tcPr>
          <w:p>
            <w:pPr>
              <w:spacing w:line="320" w:lineRule="exact"/>
              <w:jc w:val="center"/>
              <w:rPr>
                <w:rFonts w:ascii="仿宋_GB2312" w:hAnsi="宋体"/>
                <w:sz w:val="24"/>
                <w:szCs w:val="24"/>
              </w:rPr>
            </w:pPr>
            <w:r>
              <w:rPr>
                <w:rFonts w:hint="eastAsia" w:ascii="仿宋_GB2312" w:hAnsi="宋体" w:cs="仿宋_GB2312"/>
                <w:sz w:val="24"/>
                <w:szCs w:val="24"/>
              </w:rPr>
              <w:t>《鹏城水更清行动计划（</w:t>
            </w:r>
            <w:r>
              <w:rPr>
                <w:rFonts w:ascii="仿宋_GB2312" w:hAnsi="宋体" w:cs="仿宋_GB2312"/>
                <w:sz w:val="24"/>
                <w:szCs w:val="24"/>
              </w:rPr>
              <w:t>2013-2020</w:t>
            </w:r>
            <w:r>
              <w:rPr>
                <w:rFonts w:hint="eastAsia" w:ascii="仿宋_GB2312" w:hAnsi="宋体" w:cs="仿宋_GB2312"/>
                <w:sz w:val="24"/>
                <w:szCs w:val="24"/>
              </w:rPr>
              <w:t>年）》（简称《行动计划》）规定的河流水质控制部分目标没有实现。</w:t>
            </w:r>
          </w:p>
        </w:tc>
        <w:tc>
          <w:tcPr>
            <w:tcW w:w="901" w:type="dxa"/>
            <w:tcBorders>
              <w:right w:val="nil"/>
            </w:tcBorders>
            <w:noWrap w:val="0"/>
            <w:vAlign w:val="center"/>
          </w:tcPr>
          <w:p>
            <w:pPr>
              <w:spacing w:line="320" w:lineRule="exact"/>
              <w:jc w:val="center"/>
              <w:rPr>
                <w:rFonts w:ascii="仿宋_GB2312" w:hAnsi="宋体" w:cs="仿宋_GB2312"/>
                <w:sz w:val="24"/>
                <w:szCs w:val="24"/>
              </w:rPr>
            </w:pPr>
            <w:r>
              <w:rPr>
                <w:rFonts w:ascii="仿宋_GB2312" w:hAnsi="宋体" w:cs="仿宋_GB2312"/>
                <w:sz w:val="24"/>
                <w:szCs w:val="24"/>
              </w:rPr>
              <w:t>9</w:t>
            </w:r>
          </w:p>
        </w:tc>
        <w:tc>
          <w:tcPr>
            <w:tcW w:w="2880" w:type="dxa"/>
            <w:tcBorders>
              <w:right w:val="nil"/>
            </w:tcBorders>
            <w:noWrap w:val="0"/>
            <w:vAlign w:val="center"/>
          </w:tcPr>
          <w:p>
            <w:pPr>
              <w:spacing w:line="320" w:lineRule="exact"/>
              <w:rPr>
                <w:rFonts w:ascii="仿宋_GB2312" w:hAnsi="宋体"/>
                <w:sz w:val="24"/>
                <w:szCs w:val="24"/>
              </w:rPr>
            </w:pPr>
            <w:r>
              <w:rPr>
                <w:rFonts w:hint="eastAsia" w:ascii="仿宋_GB2312" w:hAnsi="宋体" w:cs="仿宋_GB2312"/>
                <w:sz w:val="24"/>
                <w:szCs w:val="24"/>
              </w:rPr>
              <w:t>审计发现，深圳市</w:t>
            </w:r>
            <w:r>
              <w:rPr>
                <w:rFonts w:ascii="仿宋_GB2312" w:hAnsi="宋体" w:cs="仿宋_GB2312"/>
                <w:sz w:val="24"/>
                <w:szCs w:val="24"/>
              </w:rPr>
              <w:t>11</w:t>
            </w:r>
            <w:r>
              <w:rPr>
                <w:rFonts w:hint="eastAsia" w:ascii="仿宋_GB2312" w:hAnsi="宋体" w:cs="仿宋_GB2312"/>
                <w:sz w:val="24"/>
                <w:szCs w:val="24"/>
              </w:rPr>
              <w:t>条河流重点整治河段未实现分阶段水质控制目标。</w:t>
            </w:r>
          </w:p>
        </w:tc>
        <w:tc>
          <w:tcPr>
            <w:tcW w:w="1262" w:type="dxa"/>
            <w:noWrap w:val="0"/>
            <w:vAlign w:val="center"/>
          </w:tcPr>
          <w:p>
            <w:pPr>
              <w:spacing w:line="320" w:lineRule="exact"/>
              <w:rPr>
                <w:rFonts w:ascii="仿宋_GB2312" w:hAnsi="宋体"/>
                <w:sz w:val="24"/>
                <w:szCs w:val="24"/>
              </w:rPr>
            </w:pPr>
            <w:r>
              <w:rPr>
                <w:rFonts w:hint="eastAsia" w:ascii="仿宋_GB2312" w:hAnsi="宋体" w:cs="仿宋_GB2312"/>
                <w:sz w:val="24"/>
                <w:szCs w:val="24"/>
              </w:rPr>
              <w:t>市人居环境委、市水务局</w:t>
            </w:r>
          </w:p>
        </w:tc>
        <w:tc>
          <w:tcPr>
            <w:tcW w:w="6095" w:type="dxa"/>
            <w:gridSpan w:val="3"/>
            <w:noWrap w:val="0"/>
            <w:vAlign w:val="center"/>
          </w:tcPr>
          <w:p>
            <w:pPr>
              <w:spacing w:line="320" w:lineRule="exact"/>
              <w:rPr>
                <w:rFonts w:ascii="仿宋_GB2312" w:hAnsi="宋体" w:cs="仿宋_GB2312"/>
                <w:sz w:val="24"/>
                <w:szCs w:val="24"/>
              </w:rPr>
            </w:pPr>
            <w:r>
              <w:rPr>
                <w:rFonts w:hint="eastAsia" w:ascii="仿宋_GB2312" w:hAnsi="宋体" w:cs="仿宋_GB2312"/>
                <w:sz w:val="24"/>
                <w:szCs w:val="24"/>
              </w:rPr>
              <w:t>市人居环境委采取以下措施进行整改：一是加大水环境监测力度。</w:t>
            </w:r>
            <w:r>
              <w:rPr>
                <w:rFonts w:ascii="仿宋_GB2312" w:hAnsi="宋体" w:cs="仿宋_GB2312"/>
                <w:sz w:val="24"/>
                <w:szCs w:val="24"/>
              </w:rPr>
              <w:t>2017</w:t>
            </w:r>
            <w:r>
              <w:rPr>
                <w:rFonts w:hint="eastAsia" w:ascii="仿宋_GB2312" w:hAnsi="宋体" w:cs="仿宋_GB2312"/>
                <w:sz w:val="24"/>
                <w:szCs w:val="24"/>
              </w:rPr>
              <w:t>年，河流监测点位数增加至</w:t>
            </w:r>
            <w:r>
              <w:rPr>
                <w:rFonts w:ascii="仿宋_GB2312" w:hAnsi="宋体" w:cs="仿宋_GB2312"/>
                <w:sz w:val="24"/>
                <w:szCs w:val="24"/>
              </w:rPr>
              <w:t>430</w:t>
            </w:r>
            <w:r>
              <w:rPr>
                <w:rFonts w:hint="eastAsia" w:ascii="仿宋_GB2312" w:hAnsi="宋体" w:cs="仿宋_GB2312"/>
                <w:sz w:val="24"/>
                <w:szCs w:val="24"/>
              </w:rPr>
              <w:t>个，覆盖茅洲河、深圳河、观澜河、龙岗河、坪山河等五条河流一、二、三级支流；分三期建设</w:t>
            </w:r>
            <w:r>
              <w:rPr>
                <w:rFonts w:ascii="仿宋_GB2312" w:hAnsi="宋体" w:cs="仿宋_GB2312"/>
                <w:sz w:val="24"/>
                <w:szCs w:val="24"/>
              </w:rPr>
              <w:t>120</w:t>
            </w:r>
            <w:r>
              <w:rPr>
                <w:rFonts w:hint="eastAsia" w:ascii="仿宋_GB2312" w:hAnsi="宋体" w:cs="仿宋_GB2312"/>
                <w:sz w:val="24"/>
                <w:szCs w:val="24"/>
              </w:rPr>
              <w:t>多个河流、饮用水源的自动监测子站，健全水环境自动监测体系。二是严把环境准入关。在茅洲河、观澜河、龙岗河、坪山河全流域实施行业限批、企业限批和区域限批，淘汰</w:t>
            </w:r>
            <w:r>
              <w:rPr>
                <w:rFonts w:ascii="仿宋_GB2312" w:hAnsi="宋体" w:cs="仿宋_GB2312"/>
                <w:sz w:val="24"/>
                <w:szCs w:val="24"/>
              </w:rPr>
              <w:t>10%</w:t>
            </w:r>
            <w:r>
              <w:rPr>
                <w:rFonts w:hint="eastAsia" w:ascii="仿宋_GB2312" w:hAnsi="宋体" w:cs="仿宋_GB2312"/>
                <w:sz w:val="24"/>
                <w:szCs w:val="24"/>
              </w:rPr>
              <w:t>左右的重污染企业。三是开展全市水污染源调查。全面摸清污染源结构和分布，为精准治污打下坚实基础。四是创新工业污染源监管模式。以随机抽取污染源和执法人员的模式，开展执法行动，不断提升监管执法效能。</w:t>
            </w:r>
            <w:r>
              <w:rPr>
                <w:rFonts w:ascii="仿宋_GB2312" w:hAnsi="宋体" w:cs="仿宋_GB2312"/>
                <w:sz w:val="24"/>
                <w:szCs w:val="24"/>
              </w:rPr>
              <w:t xml:space="preserve"> </w:t>
            </w:r>
          </w:p>
          <w:p>
            <w:pPr>
              <w:spacing w:line="320" w:lineRule="exact"/>
              <w:rPr>
                <w:rFonts w:ascii="仿宋_GB2312" w:hAnsi="宋体"/>
                <w:sz w:val="24"/>
                <w:szCs w:val="24"/>
              </w:rPr>
            </w:pPr>
            <w:r>
              <w:rPr>
                <w:rFonts w:hint="eastAsia" w:ascii="仿宋_GB2312" w:hAnsi="宋体" w:cs="仿宋_GB2312"/>
                <w:sz w:val="24"/>
                <w:szCs w:val="24"/>
              </w:rPr>
              <w:t>市水务局采取以下措施进行整改：一是加快河道综合整治。全力推动河流治理提速，从源头减污、管理控污、末端治污各个环节采取措施，大力推进茅洲河、深圳河、观澜河的综合整治工作。</w:t>
            </w:r>
            <w:r>
              <w:rPr>
                <w:rFonts w:ascii="仿宋_GB2312" w:hAnsi="宋体" w:cs="仿宋_GB2312"/>
                <w:sz w:val="24"/>
                <w:szCs w:val="24"/>
              </w:rPr>
              <w:t>2017</w:t>
            </w:r>
            <w:r>
              <w:rPr>
                <w:rFonts w:hint="eastAsia" w:ascii="仿宋_GB2312" w:hAnsi="宋体" w:cs="仿宋_GB2312"/>
                <w:sz w:val="24"/>
                <w:szCs w:val="24"/>
              </w:rPr>
              <w:t>年，完成茅洲河界河段综合整治工程，并推进支流综合整治工作；综合施策改善深圳河湾水质，完成深圳河干流剩余</w:t>
            </w:r>
            <w:r>
              <w:rPr>
                <w:rFonts w:ascii="仿宋_GB2312" w:hAnsi="宋体" w:cs="仿宋_GB2312"/>
                <w:sz w:val="24"/>
                <w:szCs w:val="24"/>
              </w:rPr>
              <w:t>5</w:t>
            </w:r>
            <w:r>
              <w:rPr>
                <w:rFonts w:hint="eastAsia" w:ascii="仿宋_GB2312" w:hAnsi="宋体" w:cs="仿宋_GB2312"/>
                <w:sz w:val="24"/>
                <w:szCs w:val="24"/>
              </w:rPr>
              <w:t>个排污口的整治；督促龙华区加快推进</w:t>
            </w:r>
            <w:r>
              <w:rPr>
                <w:rFonts w:ascii="仿宋_GB2312" w:hAnsi="宋体" w:cs="仿宋_GB2312"/>
                <w:sz w:val="24"/>
                <w:szCs w:val="24"/>
              </w:rPr>
              <w:t>23</w:t>
            </w:r>
            <w:r>
              <w:rPr>
                <w:rFonts w:hint="eastAsia" w:ascii="仿宋_GB2312" w:hAnsi="宋体" w:cs="仿宋_GB2312"/>
                <w:sz w:val="24"/>
                <w:szCs w:val="24"/>
              </w:rPr>
              <w:t>条支流整治工作，确保完成白花河综合整治，改善交接断面水质。二是全力推进水质净化厂提标改造和扩建，提升污水处理能力。</w:t>
            </w:r>
            <w:r>
              <w:rPr>
                <w:rFonts w:ascii="仿宋_GB2312" w:hAnsi="宋体" w:cs="仿宋_GB2312"/>
                <w:sz w:val="24"/>
                <w:szCs w:val="24"/>
              </w:rPr>
              <w:t>2017</w:t>
            </w:r>
            <w:r>
              <w:rPr>
                <w:rFonts w:hint="eastAsia" w:ascii="仿宋_GB2312" w:hAnsi="宋体" w:cs="仿宋_GB2312"/>
                <w:sz w:val="24"/>
                <w:szCs w:val="24"/>
              </w:rPr>
              <w:t>年，沙井二期、松岗二期两座水质净化厂建成通水，完成沙井一期、观澜一期和坂雪岗一期污水处理厂提标改造工程。三是大力加强水环境综合管控。进一步规范工业污水排放、建筑废弃物处理处置、生活垃圾收集等工作。四是加大水务环保执法力度，有效查处非法养殖，偷排泥浆、粪渣等违法行为，大幅减少污染源排放。</w:t>
            </w:r>
          </w:p>
        </w:tc>
        <w:tc>
          <w:tcPr>
            <w:tcW w:w="1304" w:type="dxa"/>
            <w:gridSpan w:val="2"/>
            <w:noWrap w:val="0"/>
            <w:vAlign w:val="center"/>
          </w:tcPr>
          <w:p>
            <w:pPr>
              <w:spacing w:line="32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7" w:hRule="atLeast"/>
          <w:jc w:val="center"/>
        </w:trPr>
        <w:tc>
          <w:tcPr>
            <w:tcW w:w="986" w:type="dxa"/>
            <w:tcBorders>
              <w:right w:val="nil"/>
            </w:tcBorders>
            <w:noWrap w:val="0"/>
            <w:vAlign w:val="center"/>
          </w:tcPr>
          <w:p>
            <w:pPr>
              <w:spacing w:line="360" w:lineRule="exact"/>
              <w:jc w:val="center"/>
              <w:rPr>
                <w:rFonts w:ascii="仿宋_GB2312" w:hAnsi="宋体"/>
                <w:sz w:val="24"/>
                <w:szCs w:val="24"/>
              </w:rPr>
            </w:pPr>
            <w:r>
              <w:rPr>
                <w:rFonts w:hint="eastAsia" w:ascii="仿宋_GB2312" w:hAnsi="Calibri" w:cs="仿宋_GB2312"/>
                <w:b/>
                <w:bCs/>
                <w:sz w:val="28"/>
                <w:szCs w:val="28"/>
              </w:rPr>
              <w:t>项目</w:t>
            </w:r>
          </w:p>
        </w:tc>
        <w:tc>
          <w:tcPr>
            <w:tcW w:w="1768" w:type="dxa"/>
            <w:gridSpan w:val="7"/>
            <w:tcBorders>
              <w:right w:val="nil"/>
            </w:tcBorders>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宋体"/>
                <w:sz w:val="24"/>
                <w:szCs w:val="24"/>
              </w:rPr>
            </w:pPr>
            <w:r>
              <w:rPr>
                <w:rFonts w:hint="eastAsia" w:ascii="仿宋_GB2312" w:hAnsi="Calibri" w:cs="仿宋_GB2312"/>
                <w:b/>
                <w:bCs/>
                <w:sz w:val="28"/>
                <w:szCs w:val="28"/>
              </w:rPr>
              <w:t>类别</w:t>
            </w:r>
          </w:p>
        </w:tc>
        <w:tc>
          <w:tcPr>
            <w:tcW w:w="901" w:type="dxa"/>
            <w:tcBorders>
              <w:right w:val="nil"/>
            </w:tcBorders>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宋体"/>
                <w:sz w:val="24"/>
                <w:szCs w:val="24"/>
              </w:rPr>
            </w:pPr>
            <w:r>
              <w:rPr>
                <w:rFonts w:hint="eastAsia" w:ascii="仿宋_GB2312" w:hAnsi="Calibri" w:cs="仿宋_GB2312"/>
                <w:b/>
                <w:bCs/>
                <w:sz w:val="28"/>
                <w:szCs w:val="28"/>
              </w:rPr>
              <w:t>序号</w:t>
            </w:r>
          </w:p>
        </w:tc>
        <w:tc>
          <w:tcPr>
            <w:tcW w:w="2880" w:type="dxa"/>
            <w:tcBorders>
              <w:right w:val="nil"/>
            </w:tcBorders>
            <w:noWrap w:val="0"/>
            <w:vAlign w:val="center"/>
          </w:tcPr>
          <w:p>
            <w:pPr>
              <w:spacing w:line="360" w:lineRule="exact"/>
              <w:jc w:val="center"/>
              <w:rPr>
                <w:rFonts w:ascii="仿宋_GB2312" w:hAnsi="宋体"/>
                <w:sz w:val="24"/>
                <w:szCs w:val="24"/>
              </w:rPr>
            </w:pPr>
            <w:r>
              <w:rPr>
                <w:rFonts w:hint="eastAsia" w:ascii="仿宋_GB2312" w:hAnsi="Calibri" w:cs="仿宋_GB2312"/>
                <w:b/>
                <w:bCs/>
                <w:sz w:val="28"/>
                <w:szCs w:val="28"/>
              </w:rPr>
              <w:t>问题内容</w:t>
            </w:r>
          </w:p>
        </w:tc>
        <w:tc>
          <w:tcPr>
            <w:tcW w:w="1262" w:type="dxa"/>
            <w:noWrap w:val="0"/>
            <w:vAlign w:val="center"/>
          </w:tcPr>
          <w:p>
            <w:pPr>
              <w:spacing w:line="360" w:lineRule="exact"/>
              <w:jc w:val="center"/>
              <w:rPr>
                <w:rFonts w:hint="eastAsia" w:ascii="仿宋_GB2312" w:hAnsi="Calibri" w:cs="仿宋_GB2312"/>
                <w:b/>
                <w:bCs/>
                <w:sz w:val="28"/>
                <w:szCs w:val="28"/>
              </w:rPr>
            </w:pPr>
            <w:r>
              <w:rPr>
                <w:rFonts w:hint="eastAsia" w:ascii="仿宋_GB2312" w:hAnsi="Calibri" w:cs="仿宋_GB2312"/>
                <w:b/>
                <w:bCs/>
                <w:sz w:val="28"/>
                <w:szCs w:val="28"/>
              </w:rPr>
              <w:t>涉及</w:t>
            </w:r>
          </w:p>
          <w:p>
            <w:pPr>
              <w:spacing w:line="360" w:lineRule="exact"/>
              <w:jc w:val="center"/>
              <w:rPr>
                <w:rFonts w:ascii="仿宋_GB2312" w:hAnsi="宋体"/>
                <w:sz w:val="24"/>
                <w:szCs w:val="24"/>
              </w:rPr>
            </w:pPr>
            <w:r>
              <w:rPr>
                <w:rFonts w:hint="eastAsia" w:ascii="仿宋_GB2312" w:hAnsi="Calibri" w:cs="仿宋_GB2312"/>
                <w:b/>
                <w:bCs/>
                <w:sz w:val="28"/>
                <w:szCs w:val="28"/>
              </w:rPr>
              <w:t>单位</w:t>
            </w:r>
          </w:p>
        </w:tc>
        <w:tc>
          <w:tcPr>
            <w:tcW w:w="6095" w:type="dxa"/>
            <w:gridSpan w:val="3"/>
            <w:noWrap w:val="0"/>
            <w:vAlign w:val="center"/>
          </w:tcPr>
          <w:p>
            <w:pPr>
              <w:spacing w:line="360" w:lineRule="exact"/>
              <w:jc w:val="center"/>
              <w:rPr>
                <w:rFonts w:ascii="仿宋_GB2312" w:hAnsi="宋体"/>
                <w:sz w:val="24"/>
                <w:szCs w:val="24"/>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sz w:val="24"/>
                <w:szCs w:val="24"/>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71" w:hRule="atLeast"/>
          <w:jc w:val="center"/>
        </w:trPr>
        <w:tc>
          <w:tcPr>
            <w:tcW w:w="986"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深圳市水污染防治资金绩效审计</w:t>
            </w:r>
          </w:p>
        </w:tc>
        <w:tc>
          <w:tcPr>
            <w:tcW w:w="518" w:type="dxa"/>
            <w:gridSpan w:val="4"/>
            <w:vMerge w:val="restart"/>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w:t>
            </w:r>
          </w:p>
        </w:tc>
        <w:tc>
          <w:tcPr>
            <w:tcW w:w="1250" w:type="dxa"/>
            <w:gridSpan w:val="3"/>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污水、污泥、河道底泥处理仍存在配套不足的问题。</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10</w:t>
            </w:r>
          </w:p>
        </w:tc>
        <w:tc>
          <w:tcPr>
            <w:tcW w:w="2880" w:type="dxa"/>
            <w:tcBorders>
              <w:right w:val="nil"/>
            </w:tcBorders>
            <w:noWrap w:val="0"/>
            <w:vAlign w:val="center"/>
          </w:tcPr>
          <w:p>
            <w:pPr>
              <w:spacing w:line="360" w:lineRule="exact"/>
              <w:rPr>
                <w:rFonts w:hint="eastAsia" w:ascii="仿宋_GB2312" w:hAnsi="宋体"/>
                <w:sz w:val="24"/>
                <w:szCs w:val="24"/>
              </w:rPr>
            </w:pPr>
            <w:r>
              <w:rPr>
                <w:rFonts w:hint="eastAsia" w:ascii="仿宋_GB2312" w:hAnsi="宋体" w:cs="仿宋_GB2312"/>
                <w:sz w:val="24"/>
                <w:szCs w:val="24"/>
              </w:rPr>
              <w:t>在污水处理方面，部分污水处理厂污水处理能力闲置，部分污水处理厂超负荷运营。</w:t>
            </w:r>
          </w:p>
        </w:tc>
        <w:tc>
          <w:tcPr>
            <w:tcW w:w="1262" w:type="dxa"/>
            <w:vMerge w:val="restart"/>
            <w:noWrap w:val="0"/>
            <w:vAlign w:val="center"/>
          </w:tcPr>
          <w:p>
            <w:pPr>
              <w:spacing w:line="360" w:lineRule="exact"/>
              <w:rPr>
                <w:rFonts w:ascii="仿宋_GB2312" w:hAnsi="宋体"/>
                <w:sz w:val="24"/>
                <w:szCs w:val="24"/>
              </w:rPr>
            </w:pPr>
            <w:r>
              <w:rPr>
                <w:rFonts w:hint="eastAsia" w:ascii="仿宋_GB2312" w:hAnsi="宋体" w:cs="仿宋_GB2312"/>
                <w:sz w:val="24"/>
                <w:szCs w:val="24"/>
              </w:rPr>
              <w:t>市水务局等</w:t>
            </w:r>
          </w:p>
        </w:tc>
        <w:tc>
          <w:tcPr>
            <w:tcW w:w="6095" w:type="dxa"/>
            <w:gridSpan w:val="3"/>
            <w:noWrap w:val="0"/>
            <w:vAlign w:val="center"/>
          </w:tcPr>
          <w:p>
            <w:pPr>
              <w:spacing w:line="360" w:lineRule="exact"/>
              <w:rPr>
                <w:rFonts w:ascii="仿宋_GB2312" w:hAnsi="宋体"/>
                <w:sz w:val="24"/>
                <w:szCs w:val="24"/>
              </w:rPr>
            </w:pPr>
            <w:r>
              <w:rPr>
                <w:rFonts w:hint="eastAsia" w:ascii="仿宋_GB2312" w:hAnsi="宋体" w:cs="仿宋_GB2312"/>
                <w:sz w:val="24"/>
                <w:szCs w:val="24"/>
              </w:rPr>
              <w:t>市水务局采取以下措施进行整改：一是加快管网配套建设，鼓励各区（新区）创新建设组织模式，引进央企、上市公司等大型集团企业，计划投入</w:t>
            </w:r>
            <w:r>
              <w:rPr>
                <w:rFonts w:ascii="仿宋_GB2312" w:hAnsi="宋体" w:cs="仿宋_GB2312"/>
                <w:sz w:val="24"/>
                <w:szCs w:val="24"/>
              </w:rPr>
              <w:t>200</w:t>
            </w:r>
            <w:r>
              <w:rPr>
                <w:rFonts w:hint="eastAsia" w:ascii="仿宋_GB2312" w:hAnsi="宋体" w:cs="仿宋_GB2312"/>
                <w:sz w:val="24"/>
                <w:szCs w:val="24"/>
              </w:rPr>
              <w:t>多亿元，在</w:t>
            </w:r>
            <w:r>
              <w:rPr>
                <w:rFonts w:ascii="仿宋_GB2312" w:hAnsi="宋体" w:cs="仿宋_GB2312"/>
                <w:sz w:val="24"/>
                <w:szCs w:val="24"/>
              </w:rPr>
              <w:t>2020</w:t>
            </w:r>
            <w:r>
              <w:rPr>
                <w:rFonts w:hint="eastAsia" w:ascii="仿宋_GB2312" w:hAnsi="宋体" w:cs="仿宋_GB2312"/>
                <w:sz w:val="24"/>
                <w:szCs w:val="24"/>
              </w:rPr>
              <w:t>年前建设完成</w:t>
            </w:r>
            <w:r>
              <w:rPr>
                <w:rFonts w:ascii="仿宋_GB2312" w:hAnsi="宋体" w:cs="仿宋_GB2312"/>
                <w:sz w:val="24"/>
                <w:szCs w:val="24"/>
              </w:rPr>
              <w:t>4260</w:t>
            </w:r>
            <w:r>
              <w:rPr>
                <w:rFonts w:hint="eastAsia" w:ascii="仿宋_GB2312" w:hAnsi="宋体" w:cs="仿宋_GB2312"/>
                <w:sz w:val="24"/>
                <w:szCs w:val="24"/>
              </w:rPr>
              <w:t>公里污水管网。二是合理规划污水系统布局。在《深圳市污水系统布局规划修编（</w:t>
            </w:r>
            <w:r>
              <w:rPr>
                <w:rFonts w:ascii="仿宋_GB2312" w:hAnsi="宋体" w:cs="仿宋_GB2312"/>
                <w:sz w:val="24"/>
                <w:szCs w:val="24"/>
              </w:rPr>
              <w:t>2011-2020</w:t>
            </w:r>
            <w:r>
              <w:rPr>
                <w:rFonts w:hint="eastAsia" w:ascii="仿宋_GB2312" w:hAnsi="宋体" w:cs="仿宋_GB2312"/>
                <w:sz w:val="24"/>
                <w:szCs w:val="24"/>
              </w:rPr>
              <w:t>）》基础上，结合重点片区开发建设的需求，计划</w:t>
            </w:r>
            <w:r>
              <w:rPr>
                <w:rFonts w:ascii="仿宋_GB2312" w:hAnsi="宋体" w:cs="仿宋_GB2312"/>
                <w:sz w:val="24"/>
                <w:szCs w:val="24"/>
              </w:rPr>
              <w:t>2015</w:t>
            </w:r>
            <w:r>
              <w:rPr>
                <w:rFonts w:hint="eastAsia" w:ascii="仿宋_GB2312" w:hAnsi="宋体" w:cs="仿宋_GB2312"/>
                <w:sz w:val="24"/>
                <w:szCs w:val="24"/>
              </w:rPr>
              <w:t>年至</w:t>
            </w:r>
            <w:r>
              <w:rPr>
                <w:rFonts w:ascii="仿宋_GB2312" w:hAnsi="宋体" w:cs="仿宋_GB2312"/>
                <w:sz w:val="24"/>
                <w:szCs w:val="24"/>
              </w:rPr>
              <w:t>2020</w:t>
            </w:r>
            <w:r>
              <w:rPr>
                <w:rFonts w:hint="eastAsia" w:ascii="仿宋_GB2312" w:hAnsi="宋体" w:cs="仿宋_GB2312"/>
                <w:sz w:val="24"/>
                <w:szCs w:val="24"/>
              </w:rPr>
              <w:t>年累计投入约</w:t>
            </w:r>
            <w:r>
              <w:rPr>
                <w:rFonts w:ascii="仿宋_GB2312" w:hAnsi="宋体" w:cs="仿宋_GB2312"/>
                <w:sz w:val="24"/>
                <w:szCs w:val="24"/>
              </w:rPr>
              <w:t>152</w:t>
            </w:r>
            <w:r>
              <w:rPr>
                <w:rFonts w:hint="eastAsia" w:ascii="仿宋_GB2312" w:hAnsi="宋体" w:cs="仿宋_GB2312"/>
                <w:sz w:val="24"/>
                <w:szCs w:val="24"/>
              </w:rPr>
              <w:t>亿元，新、扩建</w:t>
            </w:r>
            <w:r>
              <w:rPr>
                <w:rFonts w:ascii="仿宋_GB2312" w:hAnsi="宋体" w:cs="仿宋_GB2312"/>
                <w:sz w:val="24"/>
                <w:szCs w:val="24"/>
              </w:rPr>
              <w:t>19</w:t>
            </w:r>
            <w:r>
              <w:rPr>
                <w:rFonts w:hint="eastAsia" w:ascii="仿宋_GB2312" w:hAnsi="宋体" w:cs="仿宋_GB2312"/>
                <w:sz w:val="24"/>
                <w:szCs w:val="24"/>
              </w:rPr>
              <w:t>座污水处理厂，提标改造</w:t>
            </w:r>
            <w:r>
              <w:rPr>
                <w:rFonts w:ascii="仿宋_GB2312" w:hAnsi="宋体" w:cs="仿宋_GB2312"/>
                <w:sz w:val="24"/>
                <w:szCs w:val="24"/>
              </w:rPr>
              <w:t>24</w:t>
            </w:r>
            <w:r>
              <w:rPr>
                <w:rFonts w:hint="eastAsia" w:ascii="仿宋_GB2312" w:hAnsi="宋体" w:cs="仿宋_GB2312"/>
                <w:sz w:val="24"/>
                <w:szCs w:val="24"/>
              </w:rPr>
              <w:t>座污水处理厂，新增污水处理能力</w:t>
            </w:r>
            <w:r>
              <w:rPr>
                <w:rFonts w:ascii="仿宋_GB2312" w:hAnsi="宋体" w:cs="仿宋_GB2312"/>
                <w:sz w:val="24"/>
                <w:szCs w:val="24"/>
              </w:rPr>
              <w:t>203.3</w:t>
            </w:r>
            <w:r>
              <w:rPr>
                <w:rFonts w:hint="eastAsia" w:ascii="仿宋_GB2312" w:hAnsi="宋体" w:cs="仿宋_GB2312"/>
                <w:sz w:val="24"/>
                <w:szCs w:val="24"/>
              </w:rPr>
              <w:t>万吨</w:t>
            </w:r>
            <w:r>
              <w:rPr>
                <w:rFonts w:ascii="仿宋_GB2312" w:hAnsi="宋体" w:cs="仿宋_GB2312"/>
                <w:sz w:val="24"/>
                <w:szCs w:val="24"/>
              </w:rPr>
              <w:t>/</w:t>
            </w:r>
            <w:r>
              <w:rPr>
                <w:rFonts w:hint="eastAsia" w:ascii="仿宋_GB2312" w:hAnsi="宋体" w:cs="仿宋_GB2312"/>
                <w:sz w:val="24"/>
                <w:szCs w:val="24"/>
              </w:rPr>
              <w:t>日。</w:t>
            </w:r>
          </w:p>
        </w:tc>
        <w:tc>
          <w:tcPr>
            <w:tcW w:w="1284" w:type="dxa"/>
            <w:noWrap w:val="0"/>
            <w:vAlign w:val="center"/>
          </w:tcPr>
          <w:p>
            <w:pPr>
              <w:spacing w:line="36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54" w:hRule="atLeast"/>
          <w:jc w:val="center"/>
        </w:trPr>
        <w:tc>
          <w:tcPr>
            <w:tcW w:w="986" w:type="dxa"/>
            <w:vMerge w:val="continue"/>
            <w:tcBorders>
              <w:right w:val="nil"/>
            </w:tcBorders>
            <w:noWrap w:val="0"/>
            <w:vAlign w:val="center"/>
          </w:tcPr>
          <w:p>
            <w:pPr>
              <w:spacing w:line="360" w:lineRule="exact"/>
              <w:rPr>
                <w:rFonts w:ascii="仿宋_GB2312" w:hAnsi="宋体"/>
                <w:sz w:val="24"/>
                <w:szCs w:val="24"/>
              </w:rPr>
            </w:pPr>
          </w:p>
        </w:tc>
        <w:tc>
          <w:tcPr>
            <w:tcW w:w="518" w:type="dxa"/>
            <w:gridSpan w:val="4"/>
            <w:vMerge w:val="continue"/>
            <w:tcBorders>
              <w:right w:val="nil"/>
            </w:tcBorders>
            <w:noWrap w:val="0"/>
            <w:vAlign w:val="center"/>
          </w:tcPr>
          <w:p>
            <w:pPr>
              <w:spacing w:line="360" w:lineRule="exact"/>
              <w:jc w:val="center"/>
              <w:rPr>
                <w:rFonts w:ascii="仿宋_GB2312" w:hAnsi="宋体"/>
                <w:sz w:val="24"/>
                <w:szCs w:val="24"/>
              </w:rPr>
            </w:pPr>
          </w:p>
        </w:tc>
        <w:tc>
          <w:tcPr>
            <w:tcW w:w="1250" w:type="dxa"/>
            <w:gridSpan w:val="3"/>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污水、污泥、河道底泥处理仍存在配套不足的问题。</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11</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在污泥处置方面，对异地污泥处置依赖过大。</w:t>
            </w:r>
          </w:p>
        </w:tc>
        <w:tc>
          <w:tcPr>
            <w:tcW w:w="1262" w:type="dxa"/>
            <w:vMerge w:val="continue"/>
            <w:noWrap w:val="0"/>
            <w:vAlign w:val="center"/>
          </w:tcPr>
          <w:p>
            <w:pPr>
              <w:spacing w:line="360" w:lineRule="exact"/>
              <w:rPr>
                <w:rFonts w:ascii="仿宋_GB2312" w:hAnsi="宋体"/>
                <w:sz w:val="24"/>
                <w:szCs w:val="24"/>
              </w:rPr>
            </w:pPr>
          </w:p>
        </w:tc>
        <w:tc>
          <w:tcPr>
            <w:tcW w:w="6095" w:type="dxa"/>
            <w:gridSpan w:val="3"/>
            <w:noWrap w:val="0"/>
            <w:vAlign w:val="center"/>
          </w:tcPr>
          <w:p>
            <w:pPr>
              <w:spacing w:line="360" w:lineRule="exact"/>
              <w:rPr>
                <w:rFonts w:ascii="仿宋_GB2312" w:hAnsi="宋体"/>
                <w:sz w:val="24"/>
                <w:szCs w:val="24"/>
              </w:rPr>
            </w:pPr>
            <w:r>
              <w:rPr>
                <w:rFonts w:hint="eastAsia" w:ascii="仿宋_GB2312" w:hAnsi="宋体" w:cs="仿宋_GB2312"/>
                <w:sz w:val="24"/>
                <w:szCs w:val="24"/>
              </w:rPr>
              <w:t>市水务局加快推进污泥处理处置设施建设，协调推进原特区内污泥厂深度脱水减量项目和深汕共建污泥处置设施项目建设，加快推进污泥处置整合工作，目前正在推进上洋污泥深度脱水厂与上洋污泥焚烧厂整合等。</w:t>
            </w:r>
          </w:p>
        </w:tc>
        <w:tc>
          <w:tcPr>
            <w:tcW w:w="1284" w:type="dxa"/>
            <w:noWrap w:val="0"/>
            <w:vAlign w:val="center"/>
          </w:tcPr>
          <w:p>
            <w:pPr>
              <w:spacing w:line="36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87" w:hRule="atLeast"/>
          <w:jc w:val="center"/>
        </w:trPr>
        <w:tc>
          <w:tcPr>
            <w:tcW w:w="986" w:type="dxa"/>
            <w:tcBorders>
              <w:right w:val="nil"/>
            </w:tcBorders>
            <w:noWrap w:val="0"/>
            <w:vAlign w:val="center"/>
          </w:tcPr>
          <w:p>
            <w:pPr>
              <w:spacing w:line="360" w:lineRule="exact"/>
              <w:jc w:val="center"/>
              <w:rPr>
                <w:rFonts w:ascii="仿宋_GB2312" w:hAnsi="宋体"/>
                <w:sz w:val="24"/>
                <w:szCs w:val="24"/>
              </w:rPr>
            </w:pPr>
            <w:r>
              <w:rPr>
                <w:rFonts w:hint="eastAsia" w:ascii="仿宋_GB2312" w:hAnsi="Calibri" w:cs="仿宋_GB2312"/>
                <w:b/>
                <w:bCs/>
                <w:sz w:val="28"/>
                <w:szCs w:val="28"/>
              </w:rPr>
              <w:t>项目</w:t>
            </w:r>
          </w:p>
        </w:tc>
        <w:tc>
          <w:tcPr>
            <w:tcW w:w="1768" w:type="dxa"/>
            <w:gridSpan w:val="7"/>
            <w:tcBorders>
              <w:right w:val="nil"/>
            </w:tcBorders>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宋体"/>
                <w:sz w:val="24"/>
                <w:szCs w:val="24"/>
              </w:rPr>
            </w:pPr>
            <w:r>
              <w:rPr>
                <w:rFonts w:hint="eastAsia" w:ascii="仿宋_GB2312" w:hAnsi="Calibri" w:cs="仿宋_GB2312"/>
                <w:b/>
                <w:bCs/>
                <w:sz w:val="28"/>
                <w:szCs w:val="28"/>
              </w:rPr>
              <w:t>类别</w:t>
            </w:r>
          </w:p>
        </w:tc>
        <w:tc>
          <w:tcPr>
            <w:tcW w:w="901" w:type="dxa"/>
            <w:tcBorders>
              <w:right w:val="nil"/>
            </w:tcBorders>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宋体"/>
                <w:sz w:val="24"/>
                <w:szCs w:val="24"/>
              </w:rPr>
            </w:pPr>
            <w:r>
              <w:rPr>
                <w:rFonts w:hint="eastAsia" w:ascii="仿宋_GB2312" w:hAnsi="Calibri" w:cs="仿宋_GB2312"/>
                <w:b/>
                <w:bCs/>
                <w:sz w:val="28"/>
                <w:szCs w:val="28"/>
              </w:rPr>
              <w:t>序号</w:t>
            </w:r>
          </w:p>
        </w:tc>
        <w:tc>
          <w:tcPr>
            <w:tcW w:w="2880" w:type="dxa"/>
            <w:tcBorders>
              <w:right w:val="nil"/>
            </w:tcBorders>
            <w:noWrap w:val="0"/>
            <w:vAlign w:val="center"/>
          </w:tcPr>
          <w:p>
            <w:pPr>
              <w:spacing w:line="360" w:lineRule="exact"/>
              <w:jc w:val="center"/>
              <w:rPr>
                <w:rFonts w:ascii="仿宋_GB2312" w:hAnsi="宋体"/>
                <w:sz w:val="24"/>
                <w:szCs w:val="24"/>
              </w:rPr>
            </w:pPr>
            <w:r>
              <w:rPr>
                <w:rFonts w:hint="eastAsia" w:ascii="仿宋_GB2312" w:hAnsi="Calibri" w:cs="仿宋_GB2312"/>
                <w:b/>
                <w:bCs/>
                <w:sz w:val="28"/>
                <w:szCs w:val="28"/>
              </w:rPr>
              <w:t>问题内容</w:t>
            </w:r>
          </w:p>
        </w:tc>
        <w:tc>
          <w:tcPr>
            <w:tcW w:w="1262" w:type="dxa"/>
            <w:noWrap w:val="0"/>
            <w:vAlign w:val="center"/>
          </w:tcPr>
          <w:p>
            <w:pPr>
              <w:spacing w:line="360" w:lineRule="exact"/>
              <w:jc w:val="center"/>
              <w:rPr>
                <w:rFonts w:hint="eastAsia" w:ascii="仿宋_GB2312" w:hAnsi="Calibri" w:cs="仿宋_GB2312"/>
                <w:b/>
                <w:bCs/>
                <w:sz w:val="28"/>
                <w:szCs w:val="28"/>
              </w:rPr>
            </w:pPr>
            <w:r>
              <w:rPr>
                <w:rFonts w:hint="eastAsia" w:ascii="仿宋_GB2312" w:hAnsi="Calibri" w:cs="仿宋_GB2312"/>
                <w:b/>
                <w:bCs/>
                <w:sz w:val="28"/>
                <w:szCs w:val="28"/>
              </w:rPr>
              <w:t>涉及</w:t>
            </w:r>
          </w:p>
          <w:p>
            <w:pPr>
              <w:spacing w:line="360" w:lineRule="exact"/>
              <w:jc w:val="center"/>
              <w:rPr>
                <w:rFonts w:ascii="仿宋_GB2312" w:hAnsi="宋体"/>
                <w:sz w:val="24"/>
                <w:szCs w:val="24"/>
              </w:rPr>
            </w:pPr>
            <w:r>
              <w:rPr>
                <w:rFonts w:hint="eastAsia" w:ascii="仿宋_GB2312" w:hAnsi="Calibri" w:cs="仿宋_GB2312"/>
                <w:b/>
                <w:bCs/>
                <w:sz w:val="28"/>
                <w:szCs w:val="28"/>
              </w:rPr>
              <w:t>单位</w:t>
            </w:r>
          </w:p>
        </w:tc>
        <w:tc>
          <w:tcPr>
            <w:tcW w:w="6095" w:type="dxa"/>
            <w:gridSpan w:val="3"/>
            <w:noWrap w:val="0"/>
            <w:vAlign w:val="center"/>
          </w:tcPr>
          <w:p>
            <w:pPr>
              <w:spacing w:line="360" w:lineRule="exact"/>
              <w:jc w:val="center"/>
              <w:rPr>
                <w:rFonts w:ascii="仿宋_GB2312" w:hAnsi="宋体"/>
                <w:sz w:val="24"/>
                <w:szCs w:val="24"/>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sz w:val="24"/>
                <w:szCs w:val="24"/>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35" w:hRule="atLeast"/>
          <w:jc w:val="center"/>
        </w:trPr>
        <w:tc>
          <w:tcPr>
            <w:tcW w:w="986"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深圳市水污染防治资金绩效审计</w:t>
            </w:r>
          </w:p>
        </w:tc>
        <w:tc>
          <w:tcPr>
            <w:tcW w:w="518" w:type="dxa"/>
            <w:gridSpan w:val="4"/>
            <w:vMerge w:val="restart"/>
            <w:tcBorders>
              <w:right w:val="nil"/>
            </w:tcBorders>
            <w:noWrap w:val="0"/>
            <w:vAlign w:val="center"/>
          </w:tcPr>
          <w:p>
            <w:pPr>
              <w:spacing w:line="360" w:lineRule="exact"/>
              <w:rPr>
                <w:rFonts w:ascii="仿宋_GB2312" w:hAnsi="宋体" w:cs="仿宋_GB2312"/>
                <w:sz w:val="24"/>
                <w:szCs w:val="24"/>
              </w:rPr>
            </w:pPr>
            <w:r>
              <w:rPr>
                <w:rFonts w:ascii="仿宋_GB2312" w:hAnsi="宋体" w:cs="仿宋_GB2312"/>
                <w:sz w:val="24"/>
                <w:szCs w:val="24"/>
              </w:rPr>
              <w:t xml:space="preserve"> 2</w:t>
            </w:r>
          </w:p>
        </w:tc>
        <w:tc>
          <w:tcPr>
            <w:tcW w:w="1250" w:type="dxa"/>
            <w:gridSpan w:val="3"/>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污水、污泥、河道底泥处理仍存在配套不足的问题。</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12</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深圳市缺乏河道底泥处置的整体计划，未建立河道底泥专用弃置场所。部分河道底泥通过表面覆盖普通土的办法运进入受纳场，存在环境安全隐患。</w:t>
            </w:r>
          </w:p>
        </w:tc>
        <w:tc>
          <w:tcPr>
            <w:tcW w:w="1262"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市水务局等</w:t>
            </w:r>
          </w:p>
        </w:tc>
        <w:tc>
          <w:tcPr>
            <w:tcW w:w="6095" w:type="dxa"/>
            <w:gridSpan w:val="3"/>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市水务局启动河道淤泥弃置问题的摸底调查工作，协助市规划国土委落实底泥处置场所选址工作，目前已建成</w:t>
            </w:r>
            <w:r>
              <w:rPr>
                <w:rFonts w:ascii="仿宋_GB2312" w:hAnsi="宋体" w:cs="仿宋_GB2312"/>
                <w:sz w:val="24"/>
                <w:szCs w:val="24"/>
              </w:rPr>
              <w:t>1</w:t>
            </w:r>
            <w:r>
              <w:rPr>
                <w:rFonts w:hint="eastAsia" w:ascii="仿宋_GB2312" w:hAnsi="宋体" w:cs="仿宋_GB2312"/>
                <w:sz w:val="24"/>
                <w:szCs w:val="24"/>
              </w:rPr>
              <w:t>号底泥处理厂（实验厂），该厂月处置底泥</w:t>
            </w:r>
            <w:r>
              <w:rPr>
                <w:rFonts w:ascii="仿宋_GB2312" w:hAnsi="宋体" w:cs="仿宋_GB2312"/>
                <w:sz w:val="24"/>
                <w:szCs w:val="24"/>
              </w:rPr>
              <w:t>10</w:t>
            </w:r>
            <w:r>
              <w:rPr>
                <w:rFonts w:hint="eastAsia" w:ascii="仿宋_GB2312" w:hAnsi="宋体" w:cs="仿宋_GB2312"/>
                <w:sz w:val="24"/>
                <w:szCs w:val="24"/>
              </w:rPr>
              <w:t>万立方米。</w:t>
            </w:r>
          </w:p>
          <w:p>
            <w:pPr>
              <w:adjustRightInd w:val="0"/>
              <w:snapToGrid w:val="0"/>
              <w:spacing w:line="360" w:lineRule="exact"/>
              <w:rPr>
                <w:rFonts w:ascii="仿宋_GB2312" w:hAnsi="宋体"/>
                <w:sz w:val="24"/>
                <w:szCs w:val="24"/>
              </w:rPr>
            </w:pPr>
            <w:r>
              <w:rPr>
                <w:rFonts w:hint="eastAsia" w:ascii="仿宋_GB2312" w:hAnsi="宋体" w:cs="仿宋_GB2312"/>
                <w:sz w:val="24"/>
                <w:szCs w:val="24"/>
              </w:rPr>
              <w:t>市住建局已建立相应市属受纳场弃土审核制度，加强建筑废弃物入场监管；牵头建设相关智慧管理系统，通过物联网、</w:t>
            </w:r>
            <w:r>
              <w:rPr>
                <w:rFonts w:ascii="仿宋_GB2312" w:hAnsi="宋体" w:cs="仿宋_GB2312"/>
                <w:sz w:val="24"/>
                <w:szCs w:val="24"/>
              </w:rPr>
              <w:t>GPS</w:t>
            </w:r>
            <w:r>
              <w:rPr>
                <w:rFonts w:hint="eastAsia" w:ascii="仿宋_GB2312" w:hAnsi="宋体" w:cs="仿宋_GB2312"/>
                <w:sz w:val="24"/>
                <w:szCs w:val="24"/>
              </w:rPr>
              <w:t>、</w:t>
            </w:r>
            <w:r>
              <w:rPr>
                <w:rFonts w:ascii="仿宋_GB2312" w:hAnsi="宋体" w:cs="仿宋_GB2312"/>
                <w:sz w:val="24"/>
                <w:szCs w:val="24"/>
              </w:rPr>
              <w:t>RFID</w:t>
            </w:r>
            <w:r>
              <w:rPr>
                <w:rFonts w:hint="eastAsia" w:ascii="仿宋_GB2312" w:hAnsi="宋体" w:cs="仿宋_GB2312"/>
                <w:sz w:val="24"/>
                <w:szCs w:val="24"/>
              </w:rPr>
              <w:t>识别等技术，对全市建筑废弃物运输和处置情况进行跟踪，实现从源头到末端的有效监控；按照深圳市建筑废弃物综合处置工作方案要求，采取了</w:t>
            </w:r>
            <w:r>
              <w:rPr>
                <w:rFonts w:ascii="仿宋_GB2312" w:hAnsi="宋体" w:cs="仿宋_GB2312"/>
                <w:sz w:val="24"/>
                <w:szCs w:val="24"/>
              </w:rPr>
              <w:t>22</w:t>
            </w:r>
            <w:r>
              <w:rPr>
                <w:rFonts w:hint="eastAsia" w:ascii="仿宋_GB2312" w:hAnsi="宋体" w:cs="仿宋_GB2312"/>
                <w:sz w:val="24"/>
                <w:szCs w:val="24"/>
              </w:rPr>
              <w:t>条重点工作措施，确保建筑废弃物管理规范化、排放减量化、处置资源化。</w:t>
            </w:r>
          </w:p>
        </w:tc>
        <w:tc>
          <w:tcPr>
            <w:tcW w:w="1284" w:type="dxa"/>
            <w:noWrap w:val="0"/>
            <w:vAlign w:val="center"/>
          </w:tcPr>
          <w:p>
            <w:pPr>
              <w:spacing w:line="36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75" w:hRule="atLeast"/>
          <w:jc w:val="center"/>
        </w:trPr>
        <w:tc>
          <w:tcPr>
            <w:tcW w:w="986"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深圳市水污染防治资金绩效审计</w:t>
            </w:r>
          </w:p>
        </w:tc>
        <w:tc>
          <w:tcPr>
            <w:tcW w:w="518" w:type="dxa"/>
            <w:gridSpan w:val="4"/>
            <w:vMerge w:val="continue"/>
            <w:tcBorders>
              <w:right w:val="nil"/>
            </w:tcBorders>
            <w:noWrap w:val="0"/>
            <w:vAlign w:val="center"/>
          </w:tcPr>
          <w:p>
            <w:pPr>
              <w:spacing w:line="360" w:lineRule="exact"/>
              <w:rPr>
                <w:rFonts w:ascii="仿宋_GB2312" w:hAnsi="宋体"/>
                <w:sz w:val="24"/>
                <w:szCs w:val="24"/>
              </w:rPr>
            </w:pPr>
          </w:p>
        </w:tc>
        <w:tc>
          <w:tcPr>
            <w:tcW w:w="1250" w:type="dxa"/>
            <w:gridSpan w:val="3"/>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水务排水违法成本较低，影响水污染防治效益。</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13</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《深圳市排水条例》对排水类各种违法行为的处罚金额较低，罚款金额最高不超过二十万元，执行处罚裁量金额范围主要在二万元至五万元之间，处罚威慑力不足。</w:t>
            </w:r>
          </w:p>
        </w:tc>
        <w:tc>
          <w:tcPr>
            <w:tcW w:w="1262" w:type="dxa"/>
            <w:vMerge w:val="restart"/>
            <w:noWrap w:val="0"/>
            <w:vAlign w:val="center"/>
          </w:tcPr>
          <w:p>
            <w:pPr>
              <w:spacing w:line="360" w:lineRule="exact"/>
              <w:rPr>
                <w:rFonts w:ascii="仿宋_GB2312" w:hAnsi="宋体"/>
                <w:sz w:val="24"/>
                <w:szCs w:val="24"/>
              </w:rPr>
            </w:pPr>
            <w:r>
              <w:rPr>
                <w:rFonts w:hint="eastAsia" w:ascii="仿宋_GB2312" w:hAnsi="宋体" w:cs="仿宋_GB2312"/>
                <w:sz w:val="24"/>
                <w:szCs w:val="24"/>
              </w:rPr>
              <w:t>市水务局等</w:t>
            </w:r>
          </w:p>
        </w:tc>
        <w:tc>
          <w:tcPr>
            <w:tcW w:w="6095" w:type="dxa"/>
            <w:gridSpan w:val="3"/>
            <w:vMerge w:val="restart"/>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市水务局通过特区立法，在《深圳经济特区排水条例（审议稿）》中细化加大处罚力度、增加查处手段、将违法排水行为纳入水务管理信用系统，切实以法律手段严厉查处违法排水行为。</w:t>
            </w:r>
          </w:p>
        </w:tc>
        <w:tc>
          <w:tcPr>
            <w:tcW w:w="1284" w:type="dxa"/>
            <w:noWrap w:val="0"/>
            <w:vAlign w:val="center"/>
          </w:tcPr>
          <w:p>
            <w:pPr>
              <w:spacing w:line="36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693" w:hRule="atLeast"/>
          <w:jc w:val="center"/>
        </w:trPr>
        <w:tc>
          <w:tcPr>
            <w:tcW w:w="986" w:type="dxa"/>
            <w:vMerge w:val="continue"/>
            <w:tcBorders>
              <w:right w:val="nil"/>
            </w:tcBorders>
            <w:noWrap w:val="0"/>
            <w:vAlign w:val="center"/>
          </w:tcPr>
          <w:p>
            <w:pPr>
              <w:spacing w:line="360" w:lineRule="exact"/>
              <w:rPr>
                <w:rFonts w:ascii="仿宋_GB2312" w:hAnsi="宋体"/>
                <w:sz w:val="24"/>
                <w:szCs w:val="24"/>
              </w:rPr>
            </w:pPr>
          </w:p>
        </w:tc>
        <w:tc>
          <w:tcPr>
            <w:tcW w:w="518" w:type="dxa"/>
            <w:gridSpan w:val="4"/>
            <w:vMerge w:val="continue"/>
            <w:tcBorders>
              <w:right w:val="nil"/>
            </w:tcBorders>
            <w:noWrap w:val="0"/>
            <w:vAlign w:val="center"/>
          </w:tcPr>
          <w:p>
            <w:pPr>
              <w:spacing w:line="360" w:lineRule="exact"/>
              <w:rPr>
                <w:rFonts w:ascii="仿宋_GB2312" w:hAnsi="宋体"/>
                <w:sz w:val="24"/>
                <w:szCs w:val="24"/>
              </w:rPr>
            </w:pPr>
          </w:p>
        </w:tc>
        <w:tc>
          <w:tcPr>
            <w:tcW w:w="1250" w:type="dxa"/>
            <w:gridSpan w:val="3"/>
            <w:vMerge w:val="continue"/>
            <w:tcBorders>
              <w:right w:val="nil"/>
            </w:tcBorders>
            <w:noWrap w:val="0"/>
            <w:vAlign w:val="center"/>
          </w:tcPr>
          <w:p>
            <w:pPr>
              <w:spacing w:line="360" w:lineRule="exact"/>
              <w:rPr>
                <w:rFonts w:ascii="仿宋_GB2312" w:hAnsi="宋体"/>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14</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排水违法成本较低，违法单位（个人）常存侥幸心理，偷排行为屡禁不止，严重威胁水环境安全。</w:t>
            </w:r>
          </w:p>
        </w:tc>
        <w:tc>
          <w:tcPr>
            <w:tcW w:w="1262" w:type="dxa"/>
            <w:vMerge w:val="continue"/>
            <w:noWrap w:val="0"/>
            <w:vAlign w:val="center"/>
          </w:tcPr>
          <w:p>
            <w:pPr>
              <w:spacing w:line="360" w:lineRule="exact"/>
              <w:rPr>
                <w:rFonts w:ascii="仿宋_GB2312" w:hAnsi="宋体"/>
                <w:sz w:val="24"/>
                <w:szCs w:val="24"/>
              </w:rPr>
            </w:pPr>
          </w:p>
        </w:tc>
        <w:tc>
          <w:tcPr>
            <w:tcW w:w="6095" w:type="dxa"/>
            <w:gridSpan w:val="3"/>
            <w:vMerge w:val="continue"/>
            <w:noWrap w:val="0"/>
            <w:vAlign w:val="top"/>
          </w:tcPr>
          <w:p>
            <w:pPr>
              <w:spacing w:line="360" w:lineRule="exact"/>
              <w:rPr>
                <w:rFonts w:ascii="仿宋_GB2312" w:hAnsi="宋体"/>
                <w:sz w:val="24"/>
                <w:szCs w:val="24"/>
              </w:rPr>
            </w:pPr>
          </w:p>
        </w:tc>
        <w:tc>
          <w:tcPr>
            <w:tcW w:w="1284" w:type="dxa"/>
            <w:noWrap w:val="0"/>
            <w:vAlign w:val="center"/>
          </w:tcPr>
          <w:p>
            <w:pPr>
              <w:spacing w:line="36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34" w:hRule="atLeast"/>
          <w:jc w:val="center"/>
        </w:trPr>
        <w:tc>
          <w:tcPr>
            <w:tcW w:w="986" w:type="dxa"/>
            <w:tcBorders>
              <w:right w:val="nil"/>
            </w:tcBorders>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68" w:type="dxa"/>
            <w:gridSpan w:val="7"/>
            <w:tcBorders>
              <w:right w:val="nil"/>
            </w:tcBorders>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tcBorders>
              <w:right w:val="nil"/>
            </w:tcBorders>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80" w:type="dxa"/>
            <w:tcBorders>
              <w:right w:val="nil"/>
            </w:tcBorders>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62"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涉及单位</w:t>
            </w:r>
          </w:p>
        </w:tc>
        <w:tc>
          <w:tcPr>
            <w:tcW w:w="6095" w:type="dxa"/>
            <w:gridSpan w:val="3"/>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92" w:hRule="atLeast"/>
          <w:jc w:val="center"/>
        </w:trPr>
        <w:tc>
          <w:tcPr>
            <w:tcW w:w="986"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深圳市优质饮用水入户工程项目建设情况专项审计调查</w:t>
            </w:r>
          </w:p>
        </w:tc>
        <w:tc>
          <w:tcPr>
            <w:tcW w:w="589" w:type="dxa"/>
            <w:gridSpan w:val="6"/>
            <w:vMerge w:val="restart"/>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3</w:t>
            </w:r>
          </w:p>
        </w:tc>
        <w:tc>
          <w:tcPr>
            <w:tcW w:w="1179"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优质饮用水入户工程项目不锈钢管信息指导价偏高，部分项目使用贴牌产品无法保证质量。</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15</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经对比分析，《深圳建设工程价格信息》（</w:t>
            </w:r>
            <w:r>
              <w:rPr>
                <w:rFonts w:ascii="仿宋_GB2312" w:hAnsi="宋体" w:cs="仿宋_GB2312"/>
                <w:sz w:val="24"/>
                <w:szCs w:val="24"/>
              </w:rPr>
              <w:t>2016</w:t>
            </w:r>
            <w:r>
              <w:rPr>
                <w:rFonts w:hint="eastAsia" w:ascii="仿宋_GB2312" w:hAnsi="宋体" w:cs="仿宋_GB2312"/>
                <w:sz w:val="24"/>
                <w:szCs w:val="24"/>
              </w:rPr>
              <w:t>年</w:t>
            </w:r>
            <w:r>
              <w:rPr>
                <w:rFonts w:ascii="仿宋_GB2312" w:hAnsi="宋体" w:cs="仿宋_GB2312"/>
                <w:sz w:val="24"/>
                <w:szCs w:val="24"/>
              </w:rPr>
              <w:t>6-8</w:t>
            </w:r>
            <w:r>
              <w:rPr>
                <w:rFonts w:hint="eastAsia" w:ascii="仿宋_GB2312" w:hAnsi="宋体" w:cs="仿宋_GB2312"/>
                <w:sz w:val="24"/>
                <w:szCs w:val="24"/>
              </w:rPr>
              <w:t>期）中不锈钢管价格高出市场价约</w:t>
            </w:r>
            <w:r>
              <w:rPr>
                <w:rFonts w:ascii="仿宋_GB2312" w:hAnsi="宋体" w:cs="仿宋_GB2312"/>
                <w:sz w:val="24"/>
                <w:szCs w:val="24"/>
              </w:rPr>
              <w:t>60%-70%</w:t>
            </w:r>
            <w:r>
              <w:rPr>
                <w:rFonts w:hint="eastAsia" w:ascii="仿宋_GB2312" w:hAnsi="宋体" w:cs="仿宋_GB2312"/>
                <w:sz w:val="24"/>
                <w:szCs w:val="24"/>
              </w:rPr>
              <w:t>。由于该信息价为政府投资项目材料定价的重要依据，信息价偏高容易导致项目增加投资。</w:t>
            </w:r>
          </w:p>
        </w:tc>
        <w:tc>
          <w:tcPr>
            <w:tcW w:w="1262"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各区政府、新区管委会、市水务局、市水务集团等</w:t>
            </w:r>
          </w:p>
        </w:tc>
        <w:tc>
          <w:tcPr>
            <w:tcW w:w="6095" w:type="dxa"/>
            <w:gridSpan w:val="3"/>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各区（新区）相关水务主管部门科学合理编制预算，改用市场询价方式确定价格，不再采用信息指导价。深圳市工程造价管理站目前已停止发布不锈钢管信息价。</w:t>
            </w:r>
          </w:p>
        </w:tc>
        <w:tc>
          <w:tcPr>
            <w:tcW w:w="1284" w:type="dxa"/>
            <w:noWrap w:val="0"/>
            <w:vAlign w:val="center"/>
          </w:tcPr>
          <w:p>
            <w:pPr>
              <w:spacing w:line="360" w:lineRule="exact"/>
              <w:rPr>
                <w:rFonts w:ascii="仿宋_GB2312" w:hAnsi="宋体"/>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29" w:hRule="atLeast"/>
          <w:jc w:val="center"/>
        </w:trPr>
        <w:tc>
          <w:tcPr>
            <w:tcW w:w="986" w:type="dxa"/>
            <w:vMerge w:val="continue"/>
            <w:tcBorders>
              <w:right w:val="nil"/>
            </w:tcBorders>
            <w:noWrap w:val="0"/>
            <w:vAlign w:val="center"/>
          </w:tcPr>
          <w:p>
            <w:pPr>
              <w:spacing w:line="360" w:lineRule="exact"/>
              <w:rPr>
                <w:rFonts w:ascii="仿宋_GB2312" w:hAnsi="仿宋"/>
                <w:sz w:val="24"/>
                <w:szCs w:val="24"/>
              </w:rPr>
            </w:pPr>
          </w:p>
        </w:tc>
        <w:tc>
          <w:tcPr>
            <w:tcW w:w="589" w:type="dxa"/>
            <w:gridSpan w:val="6"/>
            <w:vMerge w:val="continue"/>
            <w:tcBorders>
              <w:right w:val="nil"/>
            </w:tcBorders>
            <w:noWrap w:val="0"/>
            <w:vAlign w:val="center"/>
          </w:tcPr>
          <w:p>
            <w:pPr>
              <w:spacing w:line="360" w:lineRule="exact"/>
              <w:rPr>
                <w:rFonts w:ascii="仿宋_GB2312" w:hAnsi="仿宋"/>
                <w:sz w:val="24"/>
                <w:szCs w:val="24"/>
              </w:rPr>
            </w:pPr>
          </w:p>
        </w:tc>
        <w:tc>
          <w:tcPr>
            <w:tcW w:w="1179" w:type="dxa"/>
            <w:vMerge w:val="continue"/>
            <w:tcBorders>
              <w:right w:val="nil"/>
            </w:tcBorders>
            <w:noWrap w:val="0"/>
            <w:vAlign w:val="center"/>
          </w:tcPr>
          <w:p>
            <w:pPr>
              <w:spacing w:line="360" w:lineRule="exact"/>
              <w:rPr>
                <w:rFonts w:ascii="仿宋_GB2312" w:hAnsi="仿宋"/>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16</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部分供货的不锈钢管材生产厂家存在贴牌生产的问题，贴牌生产厂家在生产加工条件、材料检测条件、售后服务等方面与原厂家存在较大差距，难以保证管材质量。</w:t>
            </w:r>
          </w:p>
        </w:tc>
        <w:tc>
          <w:tcPr>
            <w:tcW w:w="1262"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市水务局等</w:t>
            </w:r>
          </w:p>
        </w:tc>
        <w:tc>
          <w:tcPr>
            <w:tcW w:w="6095" w:type="dxa"/>
            <w:gridSpan w:val="3"/>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市水务集团组织梳理预选承包商信息库，取消有贴牌生产行为厂家的供应商资格，对其他供应商进行逐一排查，未发现使用贴牌管材，已使用的管材均经第三方检验合格。</w:t>
            </w:r>
          </w:p>
        </w:tc>
        <w:tc>
          <w:tcPr>
            <w:tcW w:w="1284" w:type="dxa"/>
            <w:noWrap w:val="0"/>
            <w:vAlign w:val="center"/>
          </w:tcPr>
          <w:p>
            <w:pPr>
              <w:spacing w:line="360" w:lineRule="exact"/>
              <w:rPr>
                <w:rFonts w:ascii="仿宋_GB2312" w:hAnsi="仿宋"/>
                <w:sz w:val="24"/>
                <w:szCs w:val="24"/>
              </w:rPr>
            </w:pPr>
            <w:r>
              <w:rPr>
                <w:rFonts w:hint="eastAsia" w:ascii="仿宋_GB2312"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555" w:hRule="atLeast"/>
          <w:jc w:val="center"/>
        </w:trPr>
        <w:tc>
          <w:tcPr>
            <w:tcW w:w="986"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深圳市城市轨道交通建设绩效审计调查</w:t>
            </w:r>
          </w:p>
        </w:tc>
        <w:tc>
          <w:tcPr>
            <w:tcW w:w="589" w:type="dxa"/>
            <w:gridSpan w:val="6"/>
            <w:tcBorders>
              <w:right w:val="nil"/>
            </w:tcBorders>
            <w:noWrap w:val="0"/>
            <w:vAlign w:val="center"/>
          </w:tcPr>
          <w:p>
            <w:pPr>
              <w:spacing w:line="360" w:lineRule="exact"/>
              <w:rPr>
                <w:rFonts w:ascii="仿宋_GB2312" w:hAnsi="宋体" w:cs="仿宋_GB2312"/>
                <w:sz w:val="24"/>
                <w:szCs w:val="24"/>
              </w:rPr>
            </w:pPr>
            <w:r>
              <w:rPr>
                <w:rFonts w:ascii="仿宋_GB2312" w:hAnsi="宋体" w:cs="仿宋_GB2312"/>
                <w:sz w:val="24"/>
                <w:szCs w:val="24"/>
              </w:rPr>
              <w:t xml:space="preserve"> 4</w:t>
            </w:r>
          </w:p>
        </w:tc>
        <w:tc>
          <w:tcPr>
            <w:tcW w:w="1179"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轨道交通项目建设方面存在的问题。</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17</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轨道交通建设一、二期工程尾工结算送审和部分同步建设项目决算送审滞后。</w:t>
            </w:r>
          </w:p>
        </w:tc>
        <w:tc>
          <w:tcPr>
            <w:tcW w:w="1262"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地铁集团</w:t>
            </w:r>
          </w:p>
        </w:tc>
        <w:tc>
          <w:tcPr>
            <w:tcW w:w="6095" w:type="dxa"/>
            <w:gridSpan w:val="3"/>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市地铁集团加强项目结算的督办，计划在</w:t>
            </w:r>
            <w:r>
              <w:rPr>
                <w:rFonts w:ascii="仿宋_GB2312" w:hAnsi="宋体" w:cs="仿宋_GB2312"/>
                <w:sz w:val="24"/>
                <w:szCs w:val="24"/>
              </w:rPr>
              <w:t>2017</w:t>
            </w:r>
            <w:r>
              <w:rPr>
                <w:rFonts w:hint="eastAsia" w:ascii="仿宋_GB2312" w:hAnsi="宋体" w:cs="仿宋_GB2312"/>
                <w:sz w:val="24"/>
                <w:szCs w:val="24"/>
              </w:rPr>
              <w:t>年完成相关项目的送审工作。</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60" w:hRule="atLeast"/>
          <w:jc w:val="center"/>
        </w:trPr>
        <w:tc>
          <w:tcPr>
            <w:tcW w:w="986"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68" w:type="dxa"/>
            <w:gridSpan w:val="7"/>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80"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62" w:type="dxa"/>
            <w:noWrap w:val="0"/>
            <w:vAlign w:val="center"/>
          </w:tcPr>
          <w:p>
            <w:pPr>
              <w:spacing w:line="360" w:lineRule="exact"/>
              <w:jc w:val="center"/>
              <w:rPr>
                <w:rFonts w:hint="eastAsia" w:ascii="仿宋_GB2312" w:hAnsi="Calibri" w:cs="仿宋_GB2312"/>
                <w:b/>
                <w:bCs/>
                <w:sz w:val="28"/>
                <w:szCs w:val="28"/>
              </w:rPr>
            </w:pPr>
            <w:r>
              <w:rPr>
                <w:rFonts w:hint="eastAsia" w:ascii="仿宋_GB2312" w:hAnsi="Calibri" w:cs="仿宋_GB2312"/>
                <w:b/>
                <w:bCs/>
                <w:sz w:val="28"/>
                <w:szCs w:val="28"/>
              </w:rPr>
              <w:t>涉及</w:t>
            </w:r>
          </w:p>
          <w:p>
            <w:pPr>
              <w:spacing w:line="360" w:lineRule="exact"/>
              <w:jc w:val="center"/>
              <w:rPr>
                <w:rFonts w:ascii="仿宋_GB2312" w:hAnsi="Calibri"/>
                <w:b/>
                <w:bCs/>
                <w:sz w:val="28"/>
                <w:szCs w:val="28"/>
              </w:rPr>
            </w:pPr>
            <w:r>
              <w:rPr>
                <w:rFonts w:hint="eastAsia" w:ascii="仿宋_GB2312" w:hAnsi="Calibri" w:cs="仿宋_GB2312"/>
                <w:b/>
                <w:bCs/>
                <w:sz w:val="28"/>
                <w:szCs w:val="28"/>
              </w:rPr>
              <w:t>单位</w:t>
            </w:r>
          </w:p>
        </w:tc>
        <w:tc>
          <w:tcPr>
            <w:tcW w:w="6095" w:type="dxa"/>
            <w:gridSpan w:val="3"/>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31" w:hRule="atLeast"/>
          <w:jc w:val="center"/>
        </w:trPr>
        <w:tc>
          <w:tcPr>
            <w:tcW w:w="986"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深圳市城市轨道交通建设绩效审计调查</w:t>
            </w:r>
          </w:p>
        </w:tc>
        <w:tc>
          <w:tcPr>
            <w:tcW w:w="589" w:type="dxa"/>
            <w:gridSpan w:val="6"/>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4</w:t>
            </w:r>
          </w:p>
        </w:tc>
        <w:tc>
          <w:tcPr>
            <w:tcW w:w="1179"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轨道交通项目建设方面存在的问题。</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18</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轨道交通三期</w:t>
            </w:r>
            <w:r>
              <w:rPr>
                <w:rFonts w:ascii="仿宋_GB2312" w:hAnsi="宋体" w:cs="仿宋_GB2312"/>
                <w:sz w:val="24"/>
                <w:szCs w:val="24"/>
              </w:rPr>
              <w:t>BT</w:t>
            </w:r>
            <w:r>
              <w:rPr>
                <w:rFonts w:hint="eastAsia" w:ascii="仿宋_GB2312" w:hAnsi="宋体" w:cs="仿宋_GB2312"/>
                <w:sz w:val="24"/>
                <w:szCs w:val="24"/>
              </w:rPr>
              <w:t>项目招标未采用工程量清单计价。</w:t>
            </w:r>
          </w:p>
        </w:tc>
        <w:tc>
          <w:tcPr>
            <w:tcW w:w="1262"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地铁集团</w:t>
            </w:r>
          </w:p>
        </w:tc>
        <w:tc>
          <w:tcPr>
            <w:tcW w:w="6095" w:type="dxa"/>
            <w:gridSpan w:val="3"/>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市地铁集团合理计划建设工期，切实在完成设计、工程量清单的基础上进行招标，确保工程造价准确。</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616" w:hRule="atLeast"/>
          <w:jc w:val="center"/>
        </w:trPr>
        <w:tc>
          <w:tcPr>
            <w:tcW w:w="986"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深圳市机动车道路临时停放设施规划及管理审计调查</w:t>
            </w:r>
          </w:p>
        </w:tc>
        <w:tc>
          <w:tcPr>
            <w:tcW w:w="589" w:type="dxa"/>
            <w:gridSpan w:val="6"/>
            <w:vMerge w:val="restart"/>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5</w:t>
            </w:r>
          </w:p>
        </w:tc>
        <w:tc>
          <w:tcPr>
            <w:tcW w:w="1179"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路边停车运营管理方面存在的问题。</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19</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路边停车项目规划前期论证不充分。</w:t>
            </w:r>
          </w:p>
        </w:tc>
        <w:tc>
          <w:tcPr>
            <w:tcW w:w="1262" w:type="dxa"/>
            <w:vMerge w:val="restart"/>
            <w:noWrap w:val="0"/>
            <w:vAlign w:val="center"/>
          </w:tcPr>
          <w:p>
            <w:pPr>
              <w:spacing w:line="360" w:lineRule="exact"/>
              <w:rPr>
                <w:rFonts w:ascii="仿宋_GB2312" w:hAnsi="宋体"/>
                <w:sz w:val="24"/>
                <w:szCs w:val="24"/>
              </w:rPr>
            </w:pPr>
            <w:r>
              <w:rPr>
                <w:rFonts w:hint="eastAsia" w:ascii="仿宋_GB2312" w:hAnsi="宋体" w:cs="仿宋_GB2312"/>
                <w:sz w:val="24"/>
                <w:szCs w:val="24"/>
              </w:rPr>
              <w:t>市道路交通管理事务中心</w:t>
            </w:r>
          </w:p>
        </w:tc>
        <w:tc>
          <w:tcPr>
            <w:tcW w:w="6095" w:type="dxa"/>
            <w:gridSpan w:val="3"/>
            <w:noWrap w:val="0"/>
            <w:vAlign w:val="center"/>
          </w:tcPr>
          <w:p>
            <w:pPr>
              <w:adjustRightInd w:val="0"/>
              <w:snapToGrid w:val="0"/>
              <w:spacing w:line="360" w:lineRule="exact"/>
              <w:rPr>
                <w:rFonts w:ascii="仿宋_GB2312" w:hAnsi="宋体"/>
                <w:kern w:val="0"/>
                <w:sz w:val="24"/>
                <w:szCs w:val="24"/>
              </w:rPr>
            </w:pPr>
            <w:r>
              <w:rPr>
                <w:rFonts w:hint="eastAsia" w:ascii="仿宋_GB2312" w:hAnsi="宋体" w:cs="仿宋_GB2312"/>
                <w:sz w:val="24"/>
                <w:szCs w:val="24"/>
              </w:rPr>
              <w:t>市道路交通管理事务中心及时调整内设机构管理职责，通过完善工作机制保障项目规划建设和技术创新。通过加强交流座谈，充分发挥人大代表、政协委员监督作用，不断提高路边停车运营管理水平。</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25" w:hRule="atLeast"/>
          <w:jc w:val="center"/>
        </w:trPr>
        <w:tc>
          <w:tcPr>
            <w:tcW w:w="986" w:type="dxa"/>
            <w:vMerge w:val="continue"/>
            <w:tcBorders>
              <w:right w:val="nil"/>
            </w:tcBorders>
            <w:noWrap w:val="0"/>
            <w:vAlign w:val="center"/>
          </w:tcPr>
          <w:p>
            <w:pPr>
              <w:spacing w:line="360" w:lineRule="exact"/>
              <w:rPr>
                <w:rFonts w:ascii="仿宋_GB2312" w:hAnsi="宋体"/>
                <w:sz w:val="24"/>
                <w:szCs w:val="24"/>
              </w:rPr>
            </w:pPr>
          </w:p>
        </w:tc>
        <w:tc>
          <w:tcPr>
            <w:tcW w:w="589" w:type="dxa"/>
            <w:gridSpan w:val="6"/>
            <w:vMerge w:val="continue"/>
            <w:tcBorders>
              <w:right w:val="nil"/>
            </w:tcBorders>
            <w:noWrap w:val="0"/>
            <w:vAlign w:val="center"/>
          </w:tcPr>
          <w:p>
            <w:pPr>
              <w:spacing w:line="360" w:lineRule="exact"/>
              <w:jc w:val="center"/>
              <w:rPr>
                <w:rFonts w:ascii="仿宋_GB2312" w:hAnsi="宋体"/>
                <w:sz w:val="24"/>
                <w:szCs w:val="24"/>
              </w:rPr>
            </w:pPr>
          </w:p>
        </w:tc>
        <w:tc>
          <w:tcPr>
            <w:tcW w:w="1179" w:type="dxa"/>
            <w:vMerge w:val="continue"/>
            <w:tcBorders>
              <w:right w:val="nil"/>
            </w:tcBorders>
            <w:noWrap w:val="0"/>
            <w:vAlign w:val="center"/>
          </w:tcPr>
          <w:p>
            <w:pPr>
              <w:spacing w:line="360" w:lineRule="exact"/>
              <w:rPr>
                <w:rFonts w:ascii="仿宋_GB2312" w:hAnsi="宋体"/>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20</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执法设备的选用未充分考虑实际工作需要，光线不足时无法合格拍照取证，导致夜间收费时段违章取证率低。</w:t>
            </w:r>
          </w:p>
        </w:tc>
        <w:tc>
          <w:tcPr>
            <w:tcW w:w="1262" w:type="dxa"/>
            <w:vMerge w:val="continue"/>
            <w:noWrap w:val="0"/>
            <w:vAlign w:val="center"/>
          </w:tcPr>
          <w:p>
            <w:pPr>
              <w:spacing w:line="360" w:lineRule="exact"/>
              <w:rPr>
                <w:rFonts w:ascii="仿宋_GB2312" w:hAnsi="宋体"/>
                <w:sz w:val="24"/>
                <w:szCs w:val="24"/>
              </w:rPr>
            </w:pPr>
          </w:p>
        </w:tc>
        <w:tc>
          <w:tcPr>
            <w:tcW w:w="6095" w:type="dxa"/>
            <w:gridSpan w:val="3"/>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市道路交通管理事务中心已对全市现有泊位设施进行维护，升级</w:t>
            </w:r>
            <w:r>
              <w:rPr>
                <w:rFonts w:ascii="仿宋_GB2312" w:hAnsi="宋体" w:cs="仿宋_GB2312"/>
                <w:sz w:val="24"/>
                <w:szCs w:val="24"/>
              </w:rPr>
              <w:t>PDA</w:t>
            </w:r>
            <w:r>
              <w:rPr>
                <w:rFonts w:hint="eastAsia" w:ascii="仿宋_GB2312" w:hAnsi="宋体" w:cs="仿宋_GB2312"/>
                <w:sz w:val="24"/>
                <w:szCs w:val="24"/>
              </w:rPr>
              <w:t>硬件模块，提高夜间拍摄图像质量，并保证夜间巡查人员及时到位，做好与交警部门的协调对接，以录像取证方式替代拍照取证。目前整体违章取证率已由</w:t>
            </w:r>
            <w:r>
              <w:rPr>
                <w:rFonts w:ascii="仿宋_GB2312" w:hAnsi="宋体" w:cs="仿宋_GB2312"/>
                <w:sz w:val="24"/>
                <w:szCs w:val="24"/>
              </w:rPr>
              <w:t>3.14%</w:t>
            </w:r>
            <w:r>
              <w:rPr>
                <w:rFonts w:hint="eastAsia" w:ascii="仿宋_GB2312" w:hAnsi="宋体" w:cs="仿宋_GB2312"/>
                <w:sz w:val="24"/>
                <w:szCs w:val="24"/>
              </w:rPr>
              <w:t>增加至</w:t>
            </w:r>
            <w:r>
              <w:rPr>
                <w:rFonts w:ascii="仿宋_GB2312" w:hAnsi="宋体" w:cs="仿宋_GB2312"/>
                <w:sz w:val="24"/>
                <w:szCs w:val="24"/>
              </w:rPr>
              <w:t>6.97%</w:t>
            </w:r>
            <w:r>
              <w:rPr>
                <w:rFonts w:hint="eastAsia" w:ascii="仿宋_GB2312" w:hAnsi="宋体" w:cs="仿宋_GB2312"/>
                <w:sz w:val="24"/>
                <w:szCs w:val="24"/>
              </w:rPr>
              <w:t>。</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32" w:hRule="atLeast"/>
          <w:jc w:val="center"/>
        </w:trPr>
        <w:tc>
          <w:tcPr>
            <w:tcW w:w="986"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68" w:type="dxa"/>
            <w:gridSpan w:val="7"/>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80"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62" w:type="dxa"/>
            <w:noWrap w:val="0"/>
            <w:vAlign w:val="center"/>
          </w:tcPr>
          <w:p>
            <w:pPr>
              <w:spacing w:line="360" w:lineRule="exact"/>
              <w:jc w:val="center"/>
              <w:rPr>
                <w:rFonts w:hint="eastAsia" w:ascii="仿宋_GB2312" w:hAnsi="Calibri" w:cs="仿宋_GB2312"/>
                <w:b/>
                <w:bCs/>
                <w:sz w:val="28"/>
                <w:szCs w:val="28"/>
              </w:rPr>
            </w:pPr>
            <w:r>
              <w:rPr>
                <w:rFonts w:hint="eastAsia" w:ascii="仿宋_GB2312" w:hAnsi="Calibri" w:cs="仿宋_GB2312"/>
                <w:b/>
                <w:bCs/>
                <w:sz w:val="28"/>
                <w:szCs w:val="28"/>
              </w:rPr>
              <w:t>涉及</w:t>
            </w:r>
          </w:p>
          <w:p>
            <w:pPr>
              <w:spacing w:line="360" w:lineRule="exact"/>
              <w:jc w:val="center"/>
              <w:rPr>
                <w:rFonts w:ascii="仿宋_GB2312" w:hAnsi="Calibri"/>
                <w:b/>
                <w:bCs/>
                <w:sz w:val="28"/>
                <w:szCs w:val="28"/>
              </w:rPr>
            </w:pPr>
            <w:r>
              <w:rPr>
                <w:rFonts w:hint="eastAsia" w:ascii="仿宋_GB2312" w:hAnsi="Calibri" w:cs="仿宋_GB2312"/>
                <w:b/>
                <w:bCs/>
                <w:sz w:val="28"/>
                <w:szCs w:val="28"/>
              </w:rPr>
              <w:t>单位</w:t>
            </w:r>
          </w:p>
        </w:tc>
        <w:tc>
          <w:tcPr>
            <w:tcW w:w="6095" w:type="dxa"/>
            <w:gridSpan w:val="3"/>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308" w:hRule="atLeast"/>
          <w:jc w:val="center"/>
        </w:trPr>
        <w:tc>
          <w:tcPr>
            <w:tcW w:w="986"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深圳市机动车道路临时停放设施规划及管理审计调查</w:t>
            </w:r>
          </w:p>
        </w:tc>
        <w:tc>
          <w:tcPr>
            <w:tcW w:w="589" w:type="dxa"/>
            <w:gridSpan w:val="6"/>
            <w:vMerge w:val="restart"/>
            <w:tcBorders>
              <w:right w:val="nil"/>
            </w:tcBorders>
            <w:noWrap w:val="0"/>
            <w:vAlign w:val="center"/>
          </w:tcPr>
          <w:p>
            <w:pPr>
              <w:spacing w:line="360" w:lineRule="exact"/>
              <w:rPr>
                <w:rFonts w:ascii="仿宋_GB2312" w:hAnsi="宋体" w:cs="仿宋_GB2312"/>
                <w:sz w:val="24"/>
                <w:szCs w:val="24"/>
              </w:rPr>
            </w:pPr>
            <w:r>
              <w:rPr>
                <w:rFonts w:ascii="仿宋_GB2312" w:hAnsi="宋体" w:cs="仿宋_GB2312"/>
                <w:sz w:val="24"/>
                <w:szCs w:val="24"/>
              </w:rPr>
              <w:t xml:space="preserve"> 5</w:t>
            </w:r>
          </w:p>
        </w:tc>
        <w:tc>
          <w:tcPr>
            <w:tcW w:w="1179"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路边停车运营管理方面存在的问题。</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21</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执法队伍管理与绩效考核不严格，执法力度不足。</w:t>
            </w:r>
          </w:p>
        </w:tc>
        <w:tc>
          <w:tcPr>
            <w:tcW w:w="1262" w:type="dxa"/>
            <w:vMerge w:val="restart"/>
            <w:noWrap w:val="0"/>
            <w:vAlign w:val="center"/>
          </w:tcPr>
          <w:p>
            <w:pPr>
              <w:spacing w:line="360" w:lineRule="exact"/>
              <w:rPr>
                <w:rFonts w:ascii="仿宋_GB2312" w:hAnsi="宋体"/>
                <w:sz w:val="24"/>
                <w:szCs w:val="24"/>
              </w:rPr>
            </w:pPr>
            <w:r>
              <w:rPr>
                <w:rFonts w:hint="eastAsia" w:ascii="仿宋_GB2312" w:hAnsi="宋体" w:cs="仿宋_GB2312"/>
                <w:sz w:val="24"/>
                <w:szCs w:val="24"/>
              </w:rPr>
              <w:t>市道路交通管理事务中心</w:t>
            </w:r>
          </w:p>
        </w:tc>
        <w:tc>
          <w:tcPr>
            <w:tcW w:w="6095" w:type="dxa"/>
            <w:gridSpan w:val="3"/>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市道路交通管理事务中心健全考核指标，在信息系统中新增个人指标和团队指标，完善信息系统内部管理功能；强化员工绩效考核，全面提升执法工作效率。目前现场执法人员每班次巡查里程数已由</w:t>
            </w:r>
            <w:r>
              <w:rPr>
                <w:rFonts w:ascii="仿宋_GB2312" w:hAnsi="宋体" w:cs="仿宋_GB2312"/>
                <w:sz w:val="24"/>
                <w:szCs w:val="24"/>
              </w:rPr>
              <w:t>4.35</w:t>
            </w:r>
            <w:r>
              <w:rPr>
                <w:rFonts w:hint="eastAsia" w:ascii="仿宋_GB2312" w:hAnsi="宋体" w:cs="仿宋_GB2312"/>
                <w:sz w:val="24"/>
                <w:szCs w:val="24"/>
              </w:rPr>
              <w:t>公里提高到</w:t>
            </w:r>
            <w:r>
              <w:rPr>
                <w:rFonts w:ascii="仿宋_GB2312" w:hAnsi="宋体" w:cs="仿宋_GB2312"/>
                <w:sz w:val="24"/>
                <w:szCs w:val="24"/>
              </w:rPr>
              <w:t>21.6</w:t>
            </w:r>
            <w:r>
              <w:rPr>
                <w:rFonts w:hint="eastAsia" w:ascii="仿宋_GB2312" w:hAnsi="宋体" w:cs="仿宋_GB2312"/>
                <w:sz w:val="24"/>
                <w:szCs w:val="24"/>
              </w:rPr>
              <w:t>公里，执法取证不合格率已由</w:t>
            </w:r>
            <w:r>
              <w:rPr>
                <w:rFonts w:ascii="仿宋_GB2312" w:hAnsi="宋体" w:cs="仿宋_GB2312"/>
                <w:sz w:val="24"/>
                <w:szCs w:val="24"/>
              </w:rPr>
              <w:t>7.21%</w:t>
            </w:r>
            <w:r>
              <w:rPr>
                <w:rFonts w:hint="eastAsia" w:ascii="仿宋_GB2312" w:hAnsi="宋体" w:cs="仿宋_GB2312"/>
                <w:sz w:val="24"/>
                <w:szCs w:val="24"/>
              </w:rPr>
              <w:t>下降至</w:t>
            </w:r>
            <w:r>
              <w:rPr>
                <w:rFonts w:ascii="仿宋_GB2312" w:hAnsi="宋体" w:cs="仿宋_GB2312"/>
                <w:sz w:val="24"/>
                <w:szCs w:val="24"/>
              </w:rPr>
              <w:t>1.93%</w:t>
            </w:r>
            <w:r>
              <w:rPr>
                <w:rFonts w:hint="eastAsia" w:ascii="仿宋_GB2312" w:hAnsi="宋体" w:cs="仿宋_GB2312"/>
                <w:sz w:val="24"/>
                <w:szCs w:val="24"/>
              </w:rPr>
              <w:t>。</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52" w:hRule="atLeast"/>
          <w:jc w:val="center"/>
        </w:trPr>
        <w:tc>
          <w:tcPr>
            <w:tcW w:w="986" w:type="dxa"/>
            <w:vMerge w:val="continue"/>
            <w:tcBorders>
              <w:right w:val="nil"/>
            </w:tcBorders>
            <w:noWrap w:val="0"/>
            <w:vAlign w:val="center"/>
          </w:tcPr>
          <w:p>
            <w:pPr>
              <w:spacing w:line="360" w:lineRule="exact"/>
              <w:rPr>
                <w:rFonts w:ascii="仿宋_GB2312" w:hAnsi="宋体"/>
                <w:sz w:val="24"/>
                <w:szCs w:val="24"/>
              </w:rPr>
            </w:pPr>
          </w:p>
        </w:tc>
        <w:tc>
          <w:tcPr>
            <w:tcW w:w="589" w:type="dxa"/>
            <w:gridSpan w:val="6"/>
            <w:vMerge w:val="continue"/>
            <w:tcBorders>
              <w:right w:val="nil"/>
            </w:tcBorders>
            <w:noWrap w:val="0"/>
            <w:vAlign w:val="center"/>
          </w:tcPr>
          <w:p>
            <w:pPr>
              <w:spacing w:line="360" w:lineRule="exact"/>
              <w:rPr>
                <w:rFonts w:ascii="仿宋_GB2312" w:hAnsi="宋体"/>
                <w:sz w:val="24"/>
                <w:szCs w:val="24"/>
              </w:rPr>
            </w:pPr>
          </w:p>
        </w:tc>
        <w:tc>
          <w:tcPr>
            <w:tcW w:w="1179" w:type="dxa"/>
            <w:vMerge w:val="continue"/>
            <w:tcBorders>
              <w:right w:val="nil"/>
            </w:tcBorders>
            <w:noWrap w:val="0"/>
            <w:vAlign w:val="center"/>
          </w:tcPr>
          <w:p>
            <w:pPr>
              <w:spacing w:line="360" w:lineRule="exact"/>
              <w:rPr>
                <w:rFonts w:ascii="仿宋_GB2312" w:hAnsi="宋体"/>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22</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路边停车违章率偏高，公共资源未得到充分利用。</w:t>
            </w:r>
          </w:p>
        </w:tc>
        <w:tc>
          <w:tcPr>
            <w:tcW w:w="1262" w:type="dxa"/>
            <w:vMerge w:val="continue"/>
            <w:noWrap w:val="0"/>
            <w:vAlign w:val="center"/>
          </w:tcPr>
          <w:p>
            <w:pPr>
              <w:spacing w:line="360" w:lineRule="exact"/>
              <w:rPr>
                <w:rFonts w:ascii="仿宋_GB2312" w:hAnsi="宋体"/>
                <w:sz w:val="24"/>
                <w:szCs w:val="24"/>
              </w:rPr>
            </w:pPr>
          </w:p>
        </w:tc>
        <w:tc>
          <w:tcPr>
            <w:tcW w:w="6095" w:type="dxa"/>
            <w:gridSpan w:val="3"/>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市道路交通管理事务中心加强执法巡查力度，及时催收超时路边停车欠费，并在现有付费模式基础上增加了信用卡付费方式。目前泊位内违章率已减少了</w:t>
            </w:r>
            <w:r>
              <w:rPr>
                <w:rFonts w:ascii="仿宋_GB2312" w:hAnsi="宋体" w:cs="仿宋_GB2312"/>
                <w:sz w:val="24"/>
                <w:szCs w:val="24"/>
              </w:rPr>
              <w:t>25.27%</w:t>
            </w:r>
            <w:r>
              <w:rPr>
                <w:rFonts w:hint="eastAsia" w:ascii="仿宋_GB2312" w:hAnsi="宋体" w:cs="仿宋_GB2312"/>
                <w:sz w:val="24"/>
                <w:szCs w:val="24"/>
              </w:rPr>
              <w:t>。</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360" w:hRule="atLeast"/>
          <w:jc w:val="center"/>
        </w:trPr>
        <w:tc>
          <w:tcPr>
            <w:tcW w:w="986"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“十二五”期间市本级政府投资新建医院项目建设及运营绩效审计调查</w:t>
            </w:r>
          </w:p>
        </w:tc>
        <w:tc>
          <w:tcPr>
            <w:tcW w:w="589" w:type="dxa"/>
            <w:gridSpan w:val="6"/>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6</w:t>
            </w:r>
          </w:p>
        </w:tc>
        <w:tc>
          <w:tcPr>
            <w:tcW w:w="1179"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新建医院项目建设进度缓慢，影响政府投资绩效。</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23</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新建医院从立项到开工建设平均耗时</w:t>
            </w:r>
            <w:r>
              <w:rPr>
                <w:rFonts w:ascii="仿宋_GB2312" w:hAnsi="宋体" w:cs="仿宋_GB2312"/>
                <w:sz w:val="24"/>
                <w:szCs w:val="24"/>
              </w:rPr>
              <w:t>3</w:t>
            </w:r>
            <w:r>
              <w:rPr>
                <w:rFonts w:hint="eastAsia" w:ascii="仿宋_GB2312" w:hAnsi="宋体" w:cs="仿宋_GB2312"/>
                <w:sz w:val="24"/>
                <w:szCs w:val="24"/>
              </w:rPr>
              <w:t>至</w:t>
            </w:r>
            <w:r>
              <w:rPr>
                <w:rFonts w:ascii="仿宋_GB2312" w:hAnsi="宋体" w:cs="仿宋_GB2312"/>
                <w:sz w:val="24"/>
                <w:szCs w:val="24"/>
              </w:rPr>
              <w:t>8</w:t>
            </w:r>
            <w:r>
              <w:rPr>
                <w:rFonts w:hint="eastAsia" w:ascii="仿宋_GB2312" w:hAnsi="宋体" w:cs="仿宋_GB2312"/>
                <w:sz w:val="24"/>
                <w:szCs w:val="24"/>
              </w:rPr>
              <w:t>年，</w:t>
            </w:r>
            <w:r>
              <w:rPr>
                <w:rFonts w:ascii="仿宋_GB2312" w:hAnsi="宋体" w:cs="仿宋_GB2312"/>
                <w:sz w:val="24"/>
                <w:szCs w:val="24"/>
              </w:rPr>
              <w:t xml:space="preserve"> </w:t>
            </w:r>
            <w:r>
              <w:rPr>
                <w:rFonts w:hint="eastAsia" w:ascii="仿宋_GB2312" w:hAnsi="宋体" w:cs="仿宋_GB2312"/>
                <w:sz w:val="24"/>
                <w:szCs w:val="24"/>
              </w:rPr>
              <w:t>建设进度缓慢。</w:t>
            </w:r>
          </w:p>
        </w:tc>
        <w:tc>
          <w:tcPr>
            <w:tcW w:w="1262"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市卫计委、市工务署、市医管中心</w:t>
            </w:r>
          </w:p>
        </w:tc>
        <w:tc>
          <w:tcPr>
            <w:tcW w:w="6095" w:type="dxa"/>
            <w:gridSpan w:val="3"/>
            <w:noWrap w:val="0"/>
            <w:vAlign w:val="center"/>
          </w:tcPr>
          <w:p>
            <w:pPr>
              <w:spacing w:line="360" w:lineRule="exact"/>
              <w:rPr>
                <w:rFonts w:ascii="仿宋_GB2312" w:hAnsi="宋体"/>
                <w:sz w:val="24"/>
                <w:szCs w:val="24"/>
              </w:rPr>
            </w:pPr>
            <w:r>
              <w:rPr>
                <w:rFonts w:hint="eastAsia" w:ascii="仿宋_GB2312" w:hAnsi="宋体" w:cs="仿宋_GB2312"/>
                <w:sz w:val="24"/>
                <w:szCs w:val="24"/>
              </w:rPr>
              <w:t>市卫生计生委、市医管中心正在推进新建医院项目筹建，及时签订合作协议。目前，吉华医院项目已完成相关评估工作，并报市发展改革委审核；中国医学科学院肿瘤医院已与深圳市医管中心签约合作运营协议。</w:t>
            </w:r>
          </w:p>
          <w:p>
            <w:pPr>
              <w:spacing w:line="360" w:lineRule="exact"/>
              <w:rPr>
                <w:rFonts w:ascii="仿宋_GB2312" w:hAnsi="宋体"/>
                <w:sz w:val="24"/>
                <w:szCs w:val="24"/>
              </w:rPr>
            </w:pPr>
            <w:r>
              <w:rPr>
                <w:rFonts w:hint="eastAsia" w:ascii="仿宋_GB2312" w:hAnsi="宋体" w:cs="仿宋_GB2312"/>
                <w:sz w:val="24"/>
                <w:szCs w:val="24"/>
              </w:rPr>
              <w:t>市建筑工务署要求各项目组严格落实有关规定，督促相关参建单位按时保质完成变更申报及审批工作，切实提高项目变更审批效率，目前已完成新明医院和健宁医院项目的</w:t>
            </w:r>
            <w:r>
              <w:rPr>
                <w:rFonts w:ascii="仿宋_GB2312" w:hAnsi="宋体" w:cs="仿宋_GB2312"/>
                <w:sz w:val="24"/>
                <w:szCs w:val="24"/>
              </w:rPr>
              <w:t>13</w:t>
            </w:r>
            <w:r>
              <w:rPr>
                <w:rFonts w:hint="eastAsia" w:ascii="仿宋_GB2312" w:hAnsi="宋体" w:cs="仿宋_GB2312"/>
                <w:sz w:val="24"/>
                <w:szCs w:val="24"/>
              </w:rPr>
              <w:t>个设计变更的审批工作。</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32" w:hRule="atLeast"/>
          <w:jc w:val="center"/>
        </w:trPr>
        <w:tc>
          <w:tcPr>
            <w:tcW w:w="986"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68" w:type="dxa"/>
            <w:gridSpan w:val="7"/>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80"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62"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涉及单位</w:t>
            </w:r>
          </w:p>
        </w:tc>
        <w:tc>
          <w:tcPr>
            <w:tcW w:w="6095" w:type="dxa"/>
            <w:gridSpan w:val="3"/>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95" w:hRule="exact"/>
          <w:jc w:val="center"/>
        </w:trPr>
        <w:tc>
          <w:tcPr>
            <w:tcW w:w="986"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深圳市第二人民医院、香港大学深圳医院、运营管理绩效审计</w:t>
            </w:r>
          </w:p>
        </w:tc>
        <w:tc>
          <w:tcPr>
            <w:tcW w:w="564" w:type="dxa"/>
            <w:gridSpan w:val="5"/>
            <w:vMerge w:val="restart"/>
            <w:tcBorders>
              <w:right w:val="nil"/>
            </w:tcBorders>
            <w:noWrap w:val="0"/>
            <w:vAlign w:val="center"/>
          </w:tcPr>
          <w:p>
            <w:pPr>
              <w:spacing w:line="360" w:lineRule="exact"/>
              <w:rPr>
                <w:rFonts w:ascii="仿宋_GB2312" w:hAnsi="宋体" w:cs="仿宋_GB2312"/>
                <w:sz w:val="24"/>
                <w:szCs w:val="24"/>
              </w:rPr>
            </w:pPr>
            <w:r>
              <w:rPr>
                <w:rFonts w:ascii="仿宋_GB2312" w:hAnsi="宋体" w:cs="仿宋_GB2312"/>
                <w:sz w:val="24"/>
                <w:szCs w:val="24"/>
              </w:rPr>
              <w:t xml:space="preserve"> 7</w:t>
            </w:r>
          </w:p>
        </w:tc>
        <w:tc>
          <w:tcPr>
            <w:tcW w:w="1204" w:type="dxa"/>
            <w:gridSpan w:val="2"/>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个别医院“三名工程”项目实施未达绩效目标，绩效管理不到位。</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24</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个别医院“三名工程”项目实施未达绩效目标。</w:t>
            </w:r>
          </w:p>
        </w:tc>
        <w:tc>
          <w:tcPr>
            <w:tcW w:w="1262" w:type="dxa"/>
            <w:vMerge w:val="restart"/>
            <w:noWrap w:val="0"/>
            <w:vAlign w:val="center"/>
          </w:tcPr>
          <w:p>
            <w:pPr>
              <w:tabs>
                <w:tab w:val="left" w:pos="3045"/>
                <w:tab w:val="left" w:pos="3360"/>
              </w:tabs>
              <w:spacing w:line="360" w:lineRule="exact"/>
              <w:rPr>
                <w:rFonts w:hint="eastAsia" w:ascii="仿宋_GB2312" w:hAnsi="宋体"/>
                <w:sz w:val="24"/>
                <w:szCs w:val="24"/>
              </w:rPr>
            </w:pPr>
            <w:r>
              <w:rPr>
                <w:rFonts w:hint="eastAsia" w:ascii="仿宋_GB2312" w:hAnsi="宋体" w:cs="仿宋_GB2312"/>
                <w:sz w:val="24"/>
                <w:szCs w:val="24"/>
              </w:rPr>
              <w:t>市二医院、香港大学深圳医院</w:t>
            </w:r>
          </w:p>
        </w:tc>
        <w:tc>
          <w:tcPr>
            <w:tcW w:w="6095" w:type="dxa"/>
            <w:gridSpan w:val="3"/>
            <w:noWrap w:val="0"/>
            <w:vAlign w:val="center"/>
          </w:tcPr>
          <w:p>
            <w:pPr>
              <w:spacing w:line="360" w:lineRule="exact"/>
              <w:rPr>
                <w:rFonts w:ascii="仿宋_GB2312" w:hAnsi="宋体"/>
                <w:sz w:val="24"/>
                <w:szCs w:val="24"/>
              </w:rPr>
            </w:pPr>
            <w:r>
              <w:rPr>
                <w:rFonts w:hint="eastAsia" w:ascii="仿宋_GB2312" w:hAnsi="宋体" w:cs="仿宋_GB2312"/>
                <w:sz w:val="24"/>
                <w:szCs w:val="24"/>
              </w:rPr>
              <w:t>市卫生计生委已制定《深圳市医疗卫生“三名工程”引进高层次医学团队绩效评估实施细则》，加强了高层次医学团队的绩效管理。</w:t>
            </w:r>
          </w:p>
          <w:p>
            <w:pPr>
              <w:spacing w:line="360" w:lineRule="exact"/>
              <w:rPr>
                <w:rFonts w:ascii="仿宋_GB2312" w:hAnsi="宋体"/>
                <w:sz w:val="24"/>
                <w:szCs w:val="24"/>
              </w:rPr>
            </w:pPr>
            <w:r>
              <w:rPr>
                <w:rFonts w:hint="eastAsia" w:ascii="仿宋_GB2312" w:hAnsi="宋体" w:cs="仿宋_GB2312"/>
                <w:sz w:val="24"/>
                <w:szCs w:val="24"/>
              </w:rPr>
              <w:t>市二医院已制定《“三名工程”团队绩效考核细则（试行）》、《“三名工程”专项经费暂行管理办法》等制度，规范管理“三名工程”项目实施；建立远程会诊机制，利用专家“碎片时间”为深圳诊疗工作提供及时的咨询服务。充分保证医疗团队核心成员及相关来深专家数量；健全相关绩效评估机制，并结合责任考核制度，确保专家团队的项目质量。</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622" w:hRule="atLeast"/>
          <w:jc w:val="center"/>
        </w:trPr>
        <w:tc>
          <w:tcPr>
            <w:tcW w:w="986" w:type="dxa"/>
            <w:vMerge w:val="continue"/>
            <w:noWrap w:val="0"/>
            <w:vAlign w:val="center"/>
          </w:tcPr>
          <w:p>
            <w:pPr>
              <w:spacing w:line="360" w:lineRule="exact"/>
              <w:jc w:val="center"/>
              <w:rPr>
                <w:rFonts w:ascii="仿宋_GB2312" w:hAnsi="Calibri"/>
                <w:b/>
                <w:bCs/>
                <w:sz w:val="28"/>
                <w:szCs w:val="28"/>
              </w:rPr>
            </w:pPr>
          </w:p>
        </w:tc>
        <w:tc>
          <w:tcPr>
            <w:tcW w:w="564" w:type="dxa"/>
            <w:gridSpan w:val="5"/>
            <w:vMerge w:val="continue"/>
            <w:noWrap w:val="0"/>
            <w:vAlign w:val="center"/>
          </w:tcPr>
          <w:p>
            <w:pPr>
              <w:spacing w:line="360" w:lineRule="exact"/>
              <w:jc w:val="center"/>
              <w:rPr>
                <w:rFonts w:ascii="仿宋_GB2312" w:hAnsi="Calibri"/>
                <w:b/>
                <w:bCs/>
                <w:sz w:val="28"/>
                <w:szCs w:val="28"/>
              </w:rPr>
            </w:pPr>
          </w:p>
        </w:tc>
        <w:tc>
          <w:tcPr>
            <w:tcW w:w="1204" w:type="dxa"/>
            <w:gridSpan w:val="2"/>
            <w:vMerge w:val="continue"/>
            <w:noWrap w:val="0"/>
            <w:vAlign w:val="center"/>
          </w:tcPr>
          <w:p>
            <w:pPr>
              <w:spacing w:line="360" w:lineRule="exact"/>
              <w:jc w:val="center"/>
              <w:rPr>
                <w:rFonts w:ascii="仿宋_GB2312" w:hAnsi="Calibri"/>
                <w:b/>
                <w:bCs/>
                <w:sz w:val="28"/>
                <w:szCs w:val="28"/>
              </w:rPr>
            </w:pPr>
          </w:p>
        </w:tc>
        <w:tc>
          <w:tcPr>
            <w:tcW w:w="901" w:type="dxa"/>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25</w:t>
            </w:r>
          </w:p>
        </w:tc>
        <w:tc>
          <w:tcPr>
            <w:tcW w:w="2880" w:type="dxa"/>
            <w:noWrap w:val="0"/>
            <w:vAlign w:val="center"/>
          </w:tcPr>
          <w:p>
            <w:pPr>
              <w:spacing w:line="360" w:lineRule="exact"/>
              <w:jc w:val="left"/>
              <w:rPr>
                <w:rFonts w:ascii="仿宋_GB2312" w:hAnsi="宋体"/>
                <w:sz w:val="24"/>
                <w:szCs w:val="24"/>
              </w:rPr>
            </w:pPr>
            <w:r>
              <w:rPr>
                <w:rFonts w:hint="eastAsia" w:ascii="仿宋_GB2312" w:hAnsi="宋体" w:cs="仿宋_GB2312"/>
                <w:sz w:val="24"/>
                <w:szCs w:val="24"/>
              </w:rPr>
              <w:t>“医疗卫生三名工程”政策措施在薪酬、养老待遇等方面缺乏相应配套措施。</w:t>
            </w:r>
          </w:p>
        </w:tc>
        <w:tc>
          <w:tcPr>
            <w:tcW w:w="1262" w:type="dxa"/>
            <w:vMerge w:val="continue"/>
            <w:noWrap w:val="0"/>
            <w:vAlign w:val="center"/>
          </w:tcPr>
          <w:p>
            <w:pPr>
              <w:spacing w:line="360" w:lineRule="exact"/>
              <w:jc w:val="center"/>
              <w:rPr>
                <w:rFonts w:ascii="仿宋_GB2312" w:hAnsi="Calibri"/>
                <w:b/>
                <w:bCs/>
                <w:sz w:val="28"/>
                <w:szCs w:val="28"/>
              </w:rPr>
            </w:pPr>
          </w:p>
        </w:tc>
        <w:tc>
          <w:tcPr>
            <w:tcW w:w="6095" w:type="dxa"/>
            <w:gridSpan w:val="3"/>
            <w:noWrap w:val="0"/>
            <w:vAlign w:val="center"/>
          </w:tcPr>
          <w:p>
            <w:pPr>
              <w:spacing w:line="360" w:lineRule="exact"/>
              <w:rPr>
                <w:rFonts w:ascii="仿宋_GB2312" w:hAnsi="宋体"/>
                <w:sz w:val="24"/>
                <w:szCs w:val="24"/>
              </w:rPr>
            </w:pPr>
            <w:r>
              <w:rPr>
                <w:rFonts w:hint="eastAsia" w:ascii="仿宋_GB2312" w:hAnsi="宋体" w:cs="仿宋_GB2312"/>
                <w:sz w:val="24"/>
                <w:szCs w:val="24"/>
              </w:rPr>
              <w:t>市卫生计生委会同市人力资源局等部门，健全新建医院人事薪酬养老制度，逐步完善新建医院去编制化、去行政化制度改革。</w:t>
            </w:r>
          </w:p>
        </w:tc>
        <w:tc>
          <w:tcPr>
            <w:tcW w:w="1284" w:type="dxa"/>
            <w:noWrap w:val="0"/>
            <w:vAlign w:val="center"/>
          </w:tcPr>
          <w:p>
            <w:pPr>
              <w:spacing w:line="360" w:lineRule="exact"/>
              <w:rPr>
                <w:rFonts w:ascii="仿宋_GB2312" w:hAnsi="Calibri"/>
                <w:b/>
                <w:bCs/>
                <w:sz w:val="28"/>
                <w:szCs w:val="28"/>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0" w:hRule="atLeast"/>
          <w:jc w:val="center"/>
        </w:trPr>
        <w:tc>
          <w:tcPr>
            <w:tcW w:w="986"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68" w:type="dxa"/>
            <w:gridSpan w:val="7"/>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80"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62"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涉及</w:t>
            </w:r>
          </w:p>
          <w:p>
            <w:pPr>
              <w:spacing w:line="360" w:lineRule="exact"/>
              <w:jc w:val="center"/>
              <w:rPr>
                <w:rFonts w:ascii="仿宋_GB2312" w:hAnsi="Calibri"/>
                <w:b/>
                <w:bCs/>
                <w:sz w:val="28"/>
                <w:szCs w:val="28"/>
              </w:rPr>
            </w:pPr>
            <w:r>
              <w:rPr>
                <w:rFonts w:hint="eastAsia" w:ascii="仿宋_GB2312" w:hAnsi="Calibri" w:cs="仿宋_GB2312"/>
                <w:b/>
                <w:bCs/>
                <w:sz w:val="28"/>
                <w:szCs w:val="28"/>
              </w:rPr>
              <w:t>单位</w:t>
            </w:r>
          </w:p>
        </w:tc>
        <w:tc>
          <w:tcPr>
            <w:tcW w:w="6095" w:type="dxa"/>
            <w:gridSpan w:val="3"/>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351" w:hRule="atLeast"/>
          <w:jc w:val="center"/>
        </w:trPr>
        <w:tc>
          <w:tcPr>
            <w:tcW w:w="986"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深圳市第二人民医院、香港大学深圳医院、运营管理绩效审计</w:t>
            </w:r>
          </w:p>
        </w:tc>
        <w:tc>
          <w:tcPr>
            <w:tcW w:w="510" w:type="dxa"/>
            <w:gridSpan w:val="3"/>
            <w:vMerge w:val="restart"/>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7</w:t>
            </w:r>
          </w:p>
        </w:tc>
        <w:tc>
          <w:tcPr>
            <w:tcW w:w="1258" w:type="dxa"/>
            <w:gridSpan w:val="4"/>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港大医院未执行董事会有关薪酬决定，港方人员出勤监管缺失。</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26</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港大医院未执行董事会决定，港方薪酬缺乏预算管理。</w:t>
            </w:r>
          </w:p>
        </w:tc>
        <w:tc>
          <w:tcPr>
            <w:tcW w:w="1262" w:type="dxa"/>
            <w:vMerge w:val="restart"/>
            <w:noWrap w:val="0"/>
            <w:vAlign w:val="center"/>
          </w:tcPr>
          <w:p>
            <w:pPr>
              <w:tabs>
                <w:tab w:val="left" w:pos="3045"/>
                <w:tab w:val="left" w:pos="3360"/>
              </w:tabs>
              <w:spacing w:line="360" w:lineRule="exact"/>
              <w:rPr>
                <w:rFonts w:ascii="仿宋_GB2312" w:hAnsi="宋体"/>
                <w:sz w:val="24"/>
                <w:szCs w:val="24"/>
              </w:rPr>
            </w:pPr>
            <w:r>
              <w:rPr>
                <w:rFonts w:hint="eastAsia" w:ascii="仿宋_GB2312" w:hAnsi="宋体" w:cs="仿宋_GB2312"/>
                <w:sz w:val="24"/>
                <w:szCs w:val="24"/>
              </w:rPr>
              <w:t>市二医院、香港大学深圳医院</w:t>
            </w:r>
          </w:p>
        </w:tc>
        <w:tc>
          <w:tcPr>
            <w:tcW w:w="6095" w:type="dxa"/>
            <w:gridSpan w:val="3"/>
            <w:noWrap w:val="0"/>
            <w:vAlign w:val="center"/>
          </w:tcPr>
          <w:p>
            <w:pPr>
              <w:adjustRightInd w:val="0"/>
              <w:snapToGrid w:val="0"/>
              <w:spacing w:line="360" w:lineRule="exact"/>
              <w:rPr>
                <w:rFonts w:ascii="仿宋_GB2312" w:hAnsi="宋体"/>
                <w:sz w:val="24"/>
                <w:szCs w:val="24"/>
              </w:rPr>
            </w:pPr>
            <w:r>
              <w:rPr>
                <w:rFonts w:hint="eastAsia" w:ascii="仿宋_GB2312" w:hAnsi="宋体" w:cs="仿宋_GB2312"/>
                <w:sz w:val="24"/>
                <w:szCs w:val="24"/>
              </w:rPr>
              <w:t>港大深圳医院于</w:t>
            </w:r>
            <w:r>
              <w:rPr>
                <w:rFonts w:ascii="仿宋_GB2312" w:hAnsi="宋体" w:cs="仿宋_GB2312"/>
                <w:sz w:val="24"/>
                <w:szCs w:val="24"/>
              </w:rPr>
              <w:t>2017</w:t>
            </w:r>
            <w:r>
              <w:rPr>
                <w:rFonts w:hint="eastAsia" w:ascii="仿宋_GB2312" w:hAnsi="宋体" w:cs="仿宋_GB2312"/>
                <w:sz w:val="24"/>
                <w:szCs w:val="24"/>
              </w:rPr>
              <w:t>年</w:t>
            </w:r>
            <w:r>
              <w:rPr>
                <w:rFonts w:ascii="仿宋_GB2312" w:hAnsi="宋体" w:cs="仿宋_GB2312"/>
                <w:sz w:val="24"/>
                <w:szCs w:val="24"/>
              </w:rPr>
              <w:t>2</w:t>
            </w:r>
            <w:r>
              <w:rPr>
                <w:rFonts w:hint="eastAsia" w:ascii="仿宋_GB2312" w:hAnsi="宋体" w:cs="仿宋_GB2312"/>
                <w:sz w:val="24"/>
                <w:szCs w:val="24"/>
              </w:rPr>
              <w:t>月向董事会报告了《关于加强港大</w:t>
            </w:r>
            <w:r>
              <w:rPr>
                <w:rFonts w:ascii="仿宋_GB2312" w:hAnsi="宋体" w:cs="仿宋_GB2312"/>
                <w:sz w:val="24"/>
                <w:szCs w:val="24"/>
              </w:rPr>
              <w:t>FTE</w:t>
            </w:r>
            <w:r>
              <w:rPr>
                <w:rFonts w:hint="eastAsia" w:ascii="仿宋_GB2312" w:hAnsi="宋体" w:cs="仿宋_GB2312"/>
                <w:sz w:val="24"/>
                <w:szCs w:val="24"/>
              </w:rPr>
              <w:t>（全工时衡量法）绩效管理的举措》，目前正在编制港方人员薪酬预算计划，相关港方人员薪酬费用已纳入预算管理。市医管中心已组织对</w:t>
            </w:r>
            <w:r>
              <w:rPr>
                <w:rFonts w:ascii="仿宋_GB2312" w:hAnsi="宋体" w:cs="仿宋_GB2312"/>
                <w:sz w:val="24"/>
                <w:szCs w:val="24"/>
              </w:rPr>
              <w:t>2015</w:t>
            </w:r>
            <w:r>
              <w:rPr>
                <w:rFonts w:hint="eastAsia" w:ascii="仿宋_GB2312" w:hAnsi="宋体" w:cs="仿宋_GB2312"/>
                <w:sz w:val="24"/>
                <w:szCs w:val="24"/>
              </w:rPr>
              <w:t>年港方人员薪酬费用进行审计。</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722" w:hRule="atLeast"/>
          <w:jc w:val="center"/>
        </w:trPr>
        <w:tc>
          <w:tcPr>
            <w:tcW w:w="986" w:type="dxa"/>
            <w:vMerge w:val="continue"/>
            <w:tcBorders>
              <w:right w:val="nil"/>
            </w:tcBorders>
            <w:noWrap w:val="0"/>
            <w:vAlign w:val="center"/>
          </w:tcPr>
          <w:p>
            <w:pPr>
              <w:spacing w:line="360" w:lineRule="exact"/>
              <w:rPr>
                <w:rFonts w:ascii="仿宋_GB2312" w:hAnsi="宋体"/>
                <w:sz w:val="24"/>
                <w:szCs w:val="24"/>
              </w:rPr>
            </w:pPr>
          </w:p>
        </w:tc>
        <w:tc>
          <w:tcPr>
            <w:tcW w:w="510" w:type="dxa"/>
            <w:gridSpan w:val="3"/>
            <w:vMerge w:val="continue"/>
            <w:tcBorders>
              <w:right w:val="nil"/>
            </w:tcBorders>
            <w:noWrap w:val="0"/>
            <w:vAlign w:val="center"/>
          </w:tcPr>
          <w:p>
            <w:pPr>
              <w:spacing w:line="360" w:lineRule="exact"/>
              <w:rPr>
                <w:rFonts w:ascii="仿宋_GB2312" w:hAnsi="宋体"/>
                <w:sz w:val="24"/>
                <w:szCs w:val="24"/>
              </w:rPr>
            </w:pPr>
          </w:p>
        </w:tc>
        <w:tc>
          <w:tcPr>
            <w:tcW w:w="1258" w:type="dxa"/>
            <w:gridSpan w:val="4"/>
            <w:vMerge w:val="continue"/>
            <w:tcBorders>
              <w:right w:val="nil"/>
            </w:tcBorders>
            <w:noWrap w:val="0"/>
            <w:vAlign w:val="center"/>
          </w:tcPr>
          <w:p>
            <w:pPr>
              <w:spacing w:line="360" w:lineRule="exact"/>
              <w:rPr>
                <w:rFonts w:ascii="仿宋_GB2312" w:hAnsi="宋体"/>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27</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港大医院未制定港方人员出勤监管制度。</w:t>
            </w:r>
          </w:p>
        </w:tc>
        <w:tc>
          <w:tcPr>
            <w:tcW w:w="1262" w:type="dxa"/>
            <w:vMerge w:val="continue"/>
            <w:noWrap w:val="0"/>
            <w:vAlign w:val="center"/>
          </w:tcPr>
          <w:p>
            <w:pPr>
              <w:spacing w:line="360" w:lineRule="exact"/>
              <w:rPr>
                <w:rFonts w:ascii="仿宋_GB2312" w:hAnsi="宋体"/>
                <w:sz w:val="24"/>
                <w:szCs w:val="24"/>
              </w:rPr>
            </w:pPr>
          </w:p>
        </w:tc>
        <w:tc>
          <w:tcPr>
            <w:tcW w:w="6095" w:type="dxa"/>
            <w:gridSpan w:val="3"/>
            <w:noWrap w:val="0"/>
            <w:vAlign w:val="center"/>
          </w:tcPr>
          <w:p>
            <w:pPr>
              <w:spacing w:line="360" w:lineRule="exact"/>
              <w:rPr>
                <w:rFonts w:ascii="仿宋_GB2312" w:hAnsi="宋体"/>
                <w:sz w:val="24"/>
                <w:szCs w:val="24"/>
              </w:rPr>
            </w:pPr>
            <w:r>
              <w:rPr>
                <w:rFonts w:hint="eastAsia" w:ascii="仿宋_GB2312" w:hAnsi="宋体" w:cs="仿宋_GB2312"/>
                <w:sz w:val="24"/>
                <w:szCs w:val="24"/>
              </w:rPr>
              <w:t>港大深圳医院已健全全院考勤制度，对港方专家出勤情况进行登记，建立台账管理机制。通过电子考勤系统，进一步加强精细化管理。</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572" w:hRule="atLeast"/>
          <w:jc w:val="center"/>
        </w:trPr>
        <w:tc>
          <w:tcPr>
            <w:tcW w:w="986" w:type="dxa"/>
            <w:vMerge w:val="continue"/>
            <w:tcBorders>
              <w:right w:val="nil"/>
            </w:tcBorders>
            <w:noWrap w:val="0"/>
            <w:vAlign w:val="center"/>
          </w:tcPr>
          <w:p>
            <w:pPr>
              <w:spacing w:line="360" w:lineRule="exact"/>
              <w:rPr>
                <w:rFonts w:ascii="仿宋_GB2312" w:hAnsi="宋体"/>
                <w:sz w:val="24"/>
                <w:szCs w:val="24"/>
              </w:rPr>
            </w:pPr>
          </w:p>
        </w:tc>
        <w:tc>
          <w:tcPr>
            <w:tcW w:w="510" w:type="dxa"/>
            <w:gridSpan w:val="3"/>
            <w:vMerge w:val="continue"/>
            <w:tcBorders>
              <w:right w:val="nil"/>
            </w:tcBorders>
            <w:noWrap w:val="0"/>
            <w:vAlign w:val="center"/>
          </w:tcPr>
          <w:p>
            <w:pPr>
              <w:spacing w:line="360" w:lineRule="exact"/>
              <w:rPr>
                <w:rFonts w:ascii="仿宋_GB2312" w:hAnsi="宋体"/>
                <w:sz w:val="24"/>
                <w:szCs w:val="24"/>
              </w:rPr>
            </w:pPr>
          </w:p>
        </w:tc>
        <w:tc>
          <w:tcPr>
            <w:tcW w:w="1258" w:type="dxa"/>
            <w:gridSpan w:val="4"/>
            <w:vMerge w:val="continue"/>
            <w:tcBorders>
              <w:right w:val="nil"/>
            </w:tcBorders>
            <w:noWrap w:val="0"/>
            <w:vAlign w:val="center"/>
          </w:tcPr>
          <w:p>
            <w:pPr>
              <w:spacing w:line="360" w:lineRule="exact"/>
              <w:rPr>
                <w:rFonts w:ascii="仿宋_GB2312" w:hAnsi="宋体"/>
                <w:sz w:val="24"/>
                <w:szCs w:val="24"/>
              </w:rPr>
            </w:pP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28</w:t>
            </w:r>
          </w:p>
        </w:tc>
        <w:tc>
          <w:tcPr>
            <w:tcW w:w="2880" w:type="dxa"/>
            <w:tcBorders>
              <w:right w:val="nil"/>
            </w:tcBorders>
            <w:noWrap w:val="0"/>
            <w:vAlign w:val="center"/>
          </w:tcPr>
          <w:p>
            <w:pPr>
              <w:spacing w:line="360" w:lineRule="exact"/>
              <w:rPr>
                <w:rFonts w:ascii="仿宋_GB2312" w:hAnsi="宋体" w:cs="仿宋_GB2312"/>
                <w:sz w:val="24"/>
                <w:szCs w:val="24"/>
              </w:rPr>
            </w:pPr>
            <w:r>
              <w:rPr>
                <w:rFonts w:hint="eastAsia" w:ascii="仿宋_GB2312" w:hAnsi="宋体" w:cs="仿宋_GB2312"/>
                <w:sz w:val="24"/>
                <w:szCs w:val="24"/>
              </w:rPr>
              <w:t>港大医院引进符合高素质人才标准的医务人员数量未达标。</w:t>
            </w:r>
            <w:r>
              <w:rPr>
                <w:rFonts w:ascii="仿宋_GB2312" w:hAnsi="宋体" w:cs="仿宋_GB2312"/>
                <w:sz w:val="24"/>
                <w:szCs w:val="24"/>
              </w:rPr>
              <w:t xml:space="preserve"> </w:t>
            </w:r>
          </w:p>
        </w:tc>
        <w:tc>
          <w:tcPr>
            <w:tcW w:w="1262" w:type="dxa"/>
            <w:vMerge w:val="continue"/>
            <w:noWrap w:val="0"/>
            <w:vAlign w:val="center"/>
          </w:tcPr>
          <w:p>
            <w:pPr>
              <w:spacing w:line="360" w:lineRule="exact"/>
              <w:rPr>
                <w:rFonts w:ascii="仿宋_GB2312" w:hAnsi="宋体" w:cs="仿宋_GB2312"/>
                <w:sz w:val="24"/>
                <w:szCs w:val="24"/>
              </w:rPr>
            </w:pPr>
          </w:p>
        </w:tc>
        <w:tc>
          <w:tcPr>
            <w:tcW w:w="6095" w:type="dxa"/>
            <w:gridSpan w:val="3"/>
            <w:noWrap w:val="0"/>
            <w:vAlign w:val="center"/>
          </w:tcPr>
          <w:p>
            <w:pPr>
              <w:spacing w:line="360" w:lineRule="exact"/>
              <w:rPr>
                <w:rFonts w:ascii="仿宋_GB2312" w:hAnsi="宋体"/>
                <w:sz w:val="24"/>
                <w:szCs w:val="24"/>
              </w:rPr>
            </w:pPr>
            <w:r>
              <w:rPr>
                <w:rFonts w:ascii="仿宋_GB2312" w:hAnsi="宋体" w:cs="仿宋_GB2312"/>
                <w:sz w:val="24"/>
                <w:szCs w:val="24"/>
              </w:rPr>
              <w:t>1.</w:t>
            </w:r>
            <w:r>
              <w:rPr>
                <w:rFonts w:hint="eastAsia" w:ascii="仿宋_GB2312" w:hAnsi="宋体" w:cs="仿宋_GB2312"/>
                <w:sz w:val="24"/>
                <w:szCs w:val="24"/>
              </w:rPr>
              <w:t>在</w:t>
            </w:r>
            <w:r>
              <w:rPr>
                <w:rFonts w:ascii="仿宋_GB2312" w:hAnsi="宋体" w:cs="仿宋_GB2312"/>
                <w:sz w:val="24"/>
                <w:szCs w:val="24"/>
              </w:rPr>
              <w:t>2017</w:t>
            </w:r>
            <w:r>
              <w:rPr>
                <w:rFonts w:hint="eastAsia" w:ascii="仿宋_GB2312" w:hAnsi="宋体" w:cs="仿宋_GB2312"/>
                <w:sz w:val="24"/>
                <w:szCs w:val="24"/>
              </w:rPr>
              <w:t>年引进“香港玛丽医院张文智院士脊柱性病变治疗团队”、“多伦多大学玛格莉特癌症中心肿瘤放射治疗团队”等</w:t>
            </w:r>
            <w:r>
              <w:rPr>
                <w:rFonts w:ascii="仿宋_GB2312" w:hAnsi="宋体" w:cs="仿宋_GB2312"/>
                <w:sz w:val="24"/>
                <w:szCs w:val="24"/>
              </w:rPr>
              <w:t>4</w:t>
            </w:r>
            <w:r>
              <w:rPr>
                <w:rFonts w:hint="eastAsia" w:ascii="仿宋_GB2312" w:hAnsi="宋体" w:cs="仿宋_GB2312"/>
                <w:sz w:val="24"/>
                <w:szCs w:val="24"/>
              </w:rPr>
              <w:t>个高层次境外团队。</w:t>
            </w:r>
          </w:p>
          <w:p>
            <w:pPr>
              <w:spacing w:line="360" w:lineRule="exact"/>
              <w:rPr>
                <w:rFonts w:ascii="仿宋_GB2312" w:hAnsi="宋体"/>
                <w:sz w:val="24"/>
                <w:szCs w:val="24"/>
              </w:rPr>
            </w:pPr>
            <w:r>
              <w:rPr>
                <w:rFonts w:ascii="仿宋_GB2312" w:hAnsi="宋体" w:cs="仿宋_GB2312"/>
                <w:sz w:val="24"/>
                <w:szCs w:val="24"/>
              </w:rPr>
              <w:t>2.</w:t>
            </w:r>
            <w:r>
              <w:rPr>
                <w:rFonts w:hint="eastAsia" w:ascii="仿宋_GB2312" w:hAnsi="宋体" w:cs="仿宋_GB2312"/>
                <w:sz w:val="24"/>
                <w:szCs w:val="24"/>
              </w:rPr>
              <w:t>加大境内高素质人才引进，招聘综合性“三甲”医院重点学科带头人或科主任，并积极返聘退休高素质人才。</w:t>
            </w:r>
            <w:r>
              <w:rPr>
                <w:rFonts w:hint="eastAsia" w:ascii="仿宋_GB2312" w:hAnsi="宋体" w:cs="仿宋_GB2312"/>
                <w:sz w:val="24"/>
                <w:szCs w:val="24"/>
                <w:lang w:eastAsia="zh-CN"/>
              </w:rPr>
              <w:t>截至目前</w:t>
            </w:r>
            <w:r>
              <w:rPr>
                <w:rFonts w:hint="eastAsia" w:ascii="仿宋_GB2312" w:hAnsi="宋体" w:cs="仿宋_GB2312"/>
                <w:sz w:val="24"/>
                <w:szCs w:val="24"/>
              </w:rPr>
              <w:t>，经市人力资源局认定，港大深圳医院已有</w:t>
            </w:r>
            <w:r>
              <w:rPr>
                <w:rFonts w:ascii="仿宋_GB2312" w:hAnsi="宋体" w:cs="仿宋_GB2312"/>
                <w:sz w:val="24"/>
                <w:szCs w:val="24"/>
              </w:rPr>
              <w:t>18</w:t>
            </w:r>
            <w:r>
              <w:rPr>
                <w:rFonts w:hint="eastAsia" w:ascii="仿宋_GB2312" w:hAnsi="宋体" w:cs="仿宋_GB2312"/>
                <w:sz w:val="24"/>
                <w:szCs w:val="24"/>
              </w:rPr>
              <w:t>名深圳市高层次人才。</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0" w:hRule="atLeast"/>
          <w:jc w:val="center"/>
        </w:trPr>
        <w:tc>
          <w:tcPr>
            <w:tcW w:w="986"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68" w:type="dxa"/>
            <w:gridSpan w:val="7"/>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80"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62"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涉及</w:t>
            </w:r>
          </w:p>
          <w:p>
            <w:pPr>
              <w:spacing w:line="360" w:lineRule="exact"/>
              <w:jc w:val="center"/>
              <w:rPr>
                <w:rFonts w:ascii="仿宋_GB2312" w:hAnsi="Calibri"/>
                <w:b/>
                <w:bCs/>
                <w:sz w:val="28"/>
                <w:szCs w:val="28"/>
              </w:rPr>
            </w:pPr>
            <w:r>
              <w:rPr>
                <w:rFonts w:hint="eastAsia" w:ascii="仿宋_GB2312" w:hAnsi="Calibri" w:cs="仿宋_GB2312"/>
                <w:b/>
                <w:bCs/>
                <w:sz w:val="28"/>
                <w:szCs w:val="28"/>
              </w:rPr>
              <w:t>单位</w:t>
            </w:r>
          </w:p>
        </w:tc>
        <w:tc>
          <w:tcPr>
            <w:tcW w:w="6072" w:type="dxa"/>
            <w:gridSpan w:val="2"/>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307" w:type="dxa"/>
            <w:gridSpan w:val="2"/>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75" w:hRule="atLeast"/>
          <w:jc w:val="center"/>
        </w:trPr>
        <w:tc>
          <w:tcPr>
            <w:tcW w:w="986" w:type="dxa"/>
            <w:vMerge w:val="restart"/>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龙华新区和坪山新区领导干部自然资源资产离任审计</w:t>
            </w:r>
          </w:p>
        </w:tc>
        <w:tc>
          <w:tcPr>
            <w:tcW w:w="510" w:type="dxa"/>
            <w:gridSpan w:val="3"/>
            <w:vMerge w:val="restart"/>
            <w:tcBorders>
              <w:right w:val="nil"/>
            </w:tcBorders>
            <w:noWrap w:val="0"/>
            <w:vAlign w:val="center"/>
          </w:tcPr>
          <w:p>
            <w:pPr>
              <w:spacing w:line="360" w:lineRule="exact"/>
              <w:rPr>
                <w:rFonts w:ascii="仿宋_GB2312" w:hAnsi="宋体" w:cs="仿宋_GB2312"/>
                <w:sz w:val="24"/>
                <w:szCs w:val="24"/>
              </w:rPr>
            </w:pPr>
            <w:r>
              <w:rPr>
                <w:rFonts w:ascii="仿宋_GB2312" w:hAnsi="宋体" w:cs="仿宋_GB2312"/>
                <w:sz w:val="24"/>
                <w:szCs w:val="24"/>
              </w:rPr>
              <w:t>8</w:t>
            </w:r>
          </w:p>
        </w:tc>
        <w:tc>
          <w:tcPr>
            <w:tcW w:w="1258" w:type="dxa"/>
            <w:gridSpan w:val="4"/>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自然资源资产管理和生态环境保护基础工作薄弱。</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29</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坪山新区林地家底不清，该区国有农业用地数据也未及时更新调整，无法准确反映实际情况。龙华新区存在自然资源资产基础资料不完整、家底不清的问题，生态控制线执法台账等档案资料管理薄弱。</w:t>
            </w:r>
          </w:p>
        </w:tc>
        <w:tc>
          <w:tcPr>
            <w:tcW w:w="1262"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坪山区政府、龙华区政府</w:t>
            </w:r>
          </w:p>
        </w:tc>
        <w:tc>
          <w:tcPr>
            <w:tcW w:w="6072" w:type="dxa"/>
            <w:gridSpan w:val="2"/>
            <w:noWrap w:val="0"/>
            <w:vAlign w:val="top"/>
          </w:tcPr>
          <w:p>
            <w:pPr>
              <w:adjustRightInd w:val="0"/>
              <w:snapToGrid w:val="0"/>
              <w:spacing w:line="360" w:lineRule="exact"/>
              <w:rPr>
                <w:rFonts w:ascii="仿宋_GB2312" w:hAnsi="宋体"/>
                <w:sz w:val="24"/>
                <w:szCs w:val="24"/>
              </w:rPr>
            </w:pPr>
            <w:r>
              <w:rPr>
                <w:rFonts w:hint="eastAsia" w:ascii="仿宋_GB2312" w:hAnsi="宋体" w:cs="仿宋_GB2312"/>
                <w:sz w:val="24"/>
                <w:szCs w:val="24"/>
              </w:rPr>
              <w:t>坪山区政府采取以下措施进行整改：一是完善森林资源数据更新制度，及时掌握林地变化情况，目前已完成辖区内</w:t>
            </w:r>
            <w:r>
              <w:rPr>
                <w:rFonts w:ascii="仿宋_GB2312" w:hAnsi="宋体" w:cs="仿宋_GB2312"/>
                <w:sz w:val="24"/>
                <w:szCs w:val="24"/>
              </w:rPr>
              <w:t>2016</w:t>
            </w:r>
            <w:r>
              <w:rPr>
                <w:rFonts w:hint="eastAsia" w:ascii="仿宋_GB2312" w:hAnsi="宋体" w:cs="仿宋_GB2312"/>
                <w:sz w:val="24"/>
                <w:szCs w:val="24"/>
              </w:rPr>
              <w:t>年森林资源二类调查工作；二是进一步完善使用林地审核审批制度，确保林地资源合理利用；三是对国有农用地开展定期数据核查，规范管理台账，委托专业机构对国</w:t>
            </w:r>
            <w:r>
              <w:rPr>
                <w:rFonts w:hint="eastAsia" w:ascii="仿宋_GB2312" w:hAnsi="宋体" w:cs="仿宋_GB2312"/>
                <w:spacing w:val="-6"/>
                <w:sz w:val="24"/>
                <w:szCs w:val="24"/>
              </w:rPr>
              <w:t>有农用地进行数据更新，进一步加强农业用地管理。</w:t>
            </w:r>
          </w:p>
          <w:p>
            <w:pPr>
              <w:spacing w:line="360" w:lineRule="exact"/>
              <w:rPr>
                <w:rFonts w:ascii="仿宋_GB2312" w:hAnsi="宋体"/>
                <w:sz w:val="24"/>
                <w:szCs w:val="24"/>
              </w:rPr>
            </w:pPr>
            <w:r>
              <w:rPr>
                <w:rFonts w:hint="eastAsia" w:ascii="仿宋_GB2312" w:hAnsi="宋体" w:cs="仿宋_GB2312"/>
                <w:sz w:val="24"/>
                <w:szCs w:val="24"/>
              </w:rPr>
              <w:t>龙华区政府采取以下措施进行整改：一是构建常态化数据采集工作机制，完善自然资源基础档案管理，加快自然资源数据采集工作，推进自然资源资产的信息化建设。二是及时对</w:t>
            </w:r>
            <w:r>
              <w:rPr>
                <w:rFonts w:ascii="仿宋_GB2312" w:hAnsi="宋体" w:cs="仿宋_GB2312"/>
                <w:sz w:val="24"/>
                <w:szCs w:val="24"/>
              </w:rPr>
              <w:t>2012-2015</w:t>
            </w:r>
            <w:r>
              <w:rPr>
                <w:rFonts w:hint="eastAsia" w:ascii="仿宋_GB2312" w:hAnsi="宋体" w:cs="仿宋_GB2312"/>
                <w:sz w:val="24"/>
                <w:szCs w:val="24"/>
              </w:rPr>
              <w:t>年涉生态线内违法建设和违法占用情况进行了核查</w:t>
            </w:r>
            <w:r>
              <w:rPr>
                <w:rFonts w:ascii="仿宋_GB2312" w:hAnsi="宋体" w:cs="仿宋_GB2312"/>
                <w:sz w:val="24"/>
                <w:szCs w:val="24"/>
              </w:rPr>
              <w:t xml:space="preserve">, </w:t>
            </w:r>
            <w:r>
              <w:rPr>
                <w:rFonts w:hint="eastAsia" w:ascii="仿宋_GB2312" w:hAnsi="宋体" w:cs="仿宋_GB2312"/>
                <w:sz w:val="24"/>
                <w:szCs w:val="24"/>
              </w:rPr>
              <w:t>通过组织各街道对规划土地数字监察平台的运用培训，切实做好执法台账等档案资料的管理使用工作。</w:t>
            </w:r>
          </w:p>
        </w:tc>
        <w:tc>
          <w:tcPr>
            <w:tcW w:w="1307" w:type="dxa"/>
            <w:gridSpan w:val="2"/>
            <w:noWrap w:val="0"/>
            <w:vAlign w:val="center"/>
          </w:tcPr>
          <w:p>
            <w:pPr>
              <w:spacing w:line="360" w:lineRule="exact"/>
              <w:rPr>
                <w:rFonts w:ascii="仿宋_GB2312" w:hAnsi="宋体"/>
                <w:sz w:val="24"/>
                <w:szCs w:val="24"/>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948" w:hRule="atLeast"/>
          <w:jc w:val="center"/>
        </w:trPr>
        <w:tc>
          <w:tcPr>
            <w:tcW w:w="986" w:type="dxa"/>
            <w:vMerge w:val="continue"/>
            <w:tcBorders>
              <w:right w:val="nil"/>
            </w:tcBorders>
            <w:noWrap w:val="0"/>
            <w:vAlign w:val="center"/>
          </w:tcPr>
          <w:p>
            <w:pPr>
              <w:spacing w:line="360" w:lineRule="exact"/>
              <w:rPr>
                <w:rFonts w:ascii="仿宋_GB2312" w:hAnsi="宋体"/>
                <w:sz w:val="24"/>
                <w:szCs w:val="24"/>
              </w:rPr>
            </w:pPr>
          </w:p>
        </w:tc>
        <w:tc>
          <w:tcPr>
            <w:tcW w:w="510" w:type="dxa"/>
            <w:gridSpan w:val="3"/>
            <w:vMerge w:val="continue"/>
            <w:tcBorders>
              <w:right w:val="nil"/>
            </w:tcBorders>
            <w:noWrap w:val="0"/>
            <w:vAlign w:val="center"/>
          </w:tcPr>
          <w:p>
            <w:pPr>
              <w:spacing w:line="360" w:lineRule="exact"/>
              <w:rPr>
                <w:rFonts w:ascii="仿宋_GB2312" w:hAnsi="宋体"/>
                <w:sz w:val="24"/>
                <w:szCs w:val="24"/>
              </w:rPr>
            </w:pPr>
          </w:p>
        </w:tc>
        <w:tc>
          <w:tcPr>
            <w:tcW w:w="1258" w:type="dxa"/>
            <w:gridSpan w:val="4"/>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自然资源资产管理和生态环境保护相关资金管理使用存在不足。</w:t>
            </w:r>
          </w:p>
        </w:tc>
        <w:tc>
          <w:tcPr>
            <w:tcW w:w="901" w:type="dxa"/>
            <w:tcBorders>
              <w:right w:val="nil"/>
            </w:tcBorders>
            <w:noWrap w:val="0"/>
            <w:vAlign w:val="center"/>
          </w:tcPr>
          <w:p>
            <w:pPr>
              <w:spacing w:line="360" w:lineRule="exact"/>
              <w:jc w:val="center"/>
              <w:rPr>
                <w:rFonts w:ascii="仿宋_GB2312" w:hAnsi="宋体" w:cs="仿宋_GB2312"/>
                <w:sz w:val="24"/>
                <w:szCs w:val="24"/>
              </w:rPr>
            </w:pPr>
            <w:r>
              <w:rPr>
                <w:rFonts w:ascii="仿宋_GB2312" w:hAnsi="宋体" w:cs="仿宋_GB2312"/>
                <w:sz w:val="24"/>
                <w:szCs w:val="24"/>
              </w:rPr>
              <w:t>30</w:t>
            </w:r>
          </w:p>
        </w:tc>
        <w:tc>
          <w:tcPr>
            <w:tcW w:w="2880" w:type="dxa"/>
            <w:tcBorders>
              <w:right w:val="nil"/>
            </w:tcBorders>
            <w:noWrap w:val="0"/>
            <w:vAlign w:val="center"/>
          </w:tcPr>
          <w:p>
            <w:pPr>
              <w:spacing w:line="360" w:lineRule="exact"/>
              <w:rPr>
                <w:rFonts w:ascii="仿宋_GB2312" w:hAnsi="宋体"/>
                <w:sz w:val="24"/>
                <w:szCs w:val="24"/>
              </w:rPr>
            </w:pPr>
            <w:r>
              <w:rPr>
                <w:rFonts w:hint="eastAsia" w:ascii="仿宋_GB2312" w:hAnsi="宋体" w:cs="仿宋_GB2312"/>
                <w:sz w:val="24"/>
                <w:szCs w:val="24"/>
              </w:rPr>
              <w:t>坪山新区未使用</w:t>
            </w:r>
            <w:r>
              <w:rPr>
                <w:rFonts w:ascii="仿宋_GB2312" w:hAnsi="宋体" w:cs="仿宋_GB2312"/>
                <w:sz w:val="24"/>
                <w:szCs w:val="24"/>
              </w:rPr>
              <w:t>2013</w:t>
            </w:r>
            <w:r>
              <w:rPr>
                <w:rFonts w:hint="eastAsia" w:ascii="仿宋_GB2312" w:hAnsi="宋体" w:cs="仿宋_GB2312"/>
                <w:sz w:val="24"/>
                <w:szCs w:val="24"/>
              </w:rPr>
              <w:t>年度、</w:t>
            </w:r>
            <w:r>
              <w:rPr>
                <w:rFonts w:ascii="仿宋_GB2312" w:hAnsi="宋体" w:cs="仿宋_GB2312"/>
                <w:sz w:val="24"/>
                <w:szCs w:val="24"/>
              </w:rPr>
              <w:t>2014</w:t>
            </w:r>
            <w:r>
              <w:rPr>
                <w:rFonts w:hint="eastAsia" w:ascii="仿宋_GB2312" w:hAnsi="宋体" w:cs="仿宋_GB2312"/>
                <w:sz w:val="24"/>
                <w:szCs w:val="24"/>
              </w:rPr>
              <w:t>年度市级生态公益林效益补偿金合计</w:t>
            </w:r>
            <w:r>
              <w:rPr>
                <w:rFonts w:ascii="仿宋_GB2312" w:hAnsi="宋体" w:cs="仿宋_GB2312"/>
                <w:sz w:val="24"/>
                <w:szCs w:val="24"/>
              </w:rPr>
              <w:t>301.53</w:t>
            </w:r>
            <w:r>
              <w:rPr>
                <w:rFonts w:hint="eastAsia" w:ascii="仿宋_GB2312" w:hAnsi="宋体" w:cs="仿宋_GB2312"/>
                <w:sz w:val="24"/>
                <w:szCs w:val="24"/>
              </w:rPr>
              <w:t>万元，上述资金已上缴国库。</w:t>
            </w:r>
          </w:p>
        </w:tc>
        <w:tc>
          <w:tcPr>
            <w:tcW w:w="1262"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坪山区政府</w:t>
            </w:r>
          </w:p>
        </w:tc>
        <w:tc>
          <w:tcPr>
            <w:tcW w:w="6095" w:type="dxa"/>
            <w:gridSpan w:val="3"/>
            <w:noWrap w:val="0"/>
            <w:vAlign w:val="center"/>
          </w:tcPr>
          <w:p>
            <w:pPr>
              <w:spacing w:line="360" w:lineRule="exact"/>
              <w:rPr>
                <w:rFonts w:ascii="仿宋_GB2312" w:hAnsi="宋体"/>
                <w:sz w:val="24"/>
                <w:szCs w:val="24"/>
              </w:rPr>
            </w:pPr>
            <w:r>
              <w:rPr>
                <w:rFonts w:hint="eastAsia" w:ascii="仿宋_GB2312" w:hAnsi="宋体" w:cs="仿宋_GB2312"/>
                <w:sz w:val="24"/>
                <w:szCs w:val="24"/>
              </w:rPr>
              <w:t>坪山区政府进一步强化资金管理，积极与市、区两级财政沟通林业资金下达情况，及时按规定安排资金的使用和拨付，印发《关于调整上级专项转移支付管理模式的通知》（深坪发财函〔</w:t>
            </w:r>
            <w:r>
              <w:rPr>
                <w:rFonts w:ascii="仿宋_GB2312" w:hAnsi="宋体" w:cs="仿宋_GB2312"/>
                <w:sz w:val="24"/>
                <w:szCs w:val="24"/>
              </w:rPr>
              <w:t>2016</w:t>
            </w:r>
            <w:r>
              <w:rPr>
                <w:rFonts w:hint="eastAsia" w:ascii="仿宋_GB2312" w:hAnsi="宋体" w:cs="仿宋_GB2312"/>
                <w:sz w:val="24"/>
                <w:szCs w:val="24"/>
              </w:rPr>
              <w:t>〕</w:t>
            </w:r>
            <w:r>
              <w:rPr>
                <w:rFonts w:ascii="仿宋_GB2312" w:hAnsi="宋体" w:cs="仿宋_GB2312"/>
                <w:sz w:val="24"/>
                <w:szCs w:val="24"/>
              </w:rPr>
              <w:t>704</w:t>
            </w:r>
            <w:r>
              <w:rPr>
                <w:rFonts w:hint="eastAsia" w:ascii="仿宋_GB2312" w:hAnsi="宋体" w:cs="仿宋_GB2312"/>
                <w:sz w:val="24"/>
                <w:szCs w:val="24"/>
              </w:rPr>
              <w:t>号），要求在收到上级专项转移支付后，应于每月上旬下达资金，确保及时、足额拨付到位，充分发挥专项资金使用效益。</w:t>
            </w:r>
          </w:p>
        </w:tc>
        <w:tc>
          <w:tcPr>
            <w:tcW w:w="1284" w:type="dxa"/>
            <w:noWrap w:val="0"/>
            <w:vAlign w:val="center"/>
          </w:tcPr>
          <w:p>
            <w:pPr>
              <w:spacing w:line="360" w:lineRule="exact"/>
              <w:rPr>
                <w:rFonts w:ascii="仿宋_GB2312" w:hAnsi="宋体"/>
                <w:sz w:val="24"/>
                <w:szCs w:val="24"/>
              </w:rPr>
            </w:pPr>
            <w:r>
              <w:rPr>
                <w:rFonts w:hint="eastAsia" w:ascii="仿宋_GB2312" w:hAnsi="宋体" w:cs="仿宋_GB2312"/>
                <w:sz w:val="24"/>
                <w:szCs w:val="24"/>
              </w:rPr>
              <w:t>正在整改</w:t>
            </w:r>
          </w:p>
        </w:tc>
      </w:tr>
    </w:tbl>
    <w:p>
      <w:pPr>
        <w:spacing w:line="20" w:lineRule="exact"/>
      </w:pPr>
      <w:r>
        <w:br w:type="page"/>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10"/>
        <w:gridCol w:w="1258"/>
        <w:gridCol w:w="901"/>
        <w:gridCol w:w="2871"/>
        <w:gridCol w:w="1260"/>
        <w:gridCol w:w="6106"/>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6"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项目</w:t>
            </w:r>
          </w:p>
        </w:tc>
        <w:tc>
          <w:tcPr>
            <w:tcW w:w="1768" w:type="dxa"/>
            <w:gridSpan w:val="2"/>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类别</w:t>
            </w:r>
          </w:p>
        </w:tc>
        <w:tc>
          <w:tcPr>
            <w:tcW w:w="90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w:t>
            </w:r>
          </w:p>
          <w:p>
            <w:pPr>
              <w:spacing w:line="360" w:lineRule="exact"/>
              <w:jc w:val="center"/>
              <w:rPr>
                <w:rFonts w:ascii="仿宋_GB2312" w:hAnsi="Calibri"/>
                <w:b/>
                <w:bCs/>
                <w:sz w:val="28"/>
                <w:szCs w:val="28"/>
              </w:rPr>
            </w:pPr>
            <w:r>
              <w:rPr>
                <w:rFonts w:hint="eastAsia" w:ascii="仿宋_GB2312" w:hAnsi="Calibri" w:cs="仿宋_GB2312"/>
                <w:b/>
                <w:bCs/>
                <w:sz w:val="28"/>
                <w:szCs w:val="28"/>
              </w:rPr>
              <w:t>序号</w:t>
            </w:r>
          </w:p>
        </w:tc>
        <w:tc>
          <w:tcPr>
            <w:tcW w:w="2871"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问题内容</w:t>
            </w:r>
          </w:p>
        </w:tc>
        <w:tc>
          <w:tcPr>
            <w:tcW w:w="1260"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涉及</w:t>
            </w:r>
          </w:p>
          <w:p>
            <w:pPr>
              <w:spacing w:line="360" w:lineRule="exact"/>
              <w:jc w:val="center"/>
              <w:rPr>
                <w:rFonts w:ascii="仿宋_GB2312" w:hAnsi="Calibri"/>
                <w:b/>
                <w:bCs/>
                <w:sz w:val="28"/>
                <w:szCs w:val="28"/>
              </w:rPr>
            </w:pPr>
            <w:r>
              <w:rPr>
                <w:rFonts w:hint="eastAsia" w:ascii="仿宋_GB2312" w:hAnsi="Calibri" w:cs="仿宋_GB2312"/>
                <w:b/>
                <w:bCs/>
                <w:sz w:val="28"/>
                <w:szCs w:val="28"/>
              </w:rPr>
              <w:t>单位</w:t>
            </w:r>
          </w:p>
        </w:tc>
        <w:tc>
          <w:tcPr>
            <w:tcW w:w="6106"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整改情况</w:t>
            </w:r>
          </w:p>
        </w:tc>
        <w:tc>
          <w:tcPr>
            <w:tcW w:w="1284" w:type="dxa"/>
            <w:noWrap w:val="0"/>
            <w:vAlign w:val="center"/>
          </w:tcPr>
          <w:p>
            <w:pPr>
              <w:spacing w:line="360" w:lineRule="exact"/>
              <w:jc w:val="center"/>
              <w:rPr>
                <w:rFonts w:ascii="仿宋_GB2312" w:hAnsi="Calibri"/>
                <w:b/>
                <w:bCs/>
                <w:sz w:val="28"/>
                <w:szCs w:val="28"/>
              </w:rPr>
            </w:pPr>
            <w:r>
              <w:rPr>
                <w:rFonts w:hint="eastAsia" w:ascii="仿宋_GB2312" w:hAnsi="Calibri" w:cs="仿宋_GB2312"/>
                <w:b/>
                <w:bCs/>
                <w:sz w:val="28"/>
                <w:szCs w:val="28"/>
              </w:rPr>
              <w:t>整改</w:t>
            </w:r>
          </w:p>
          <w:p>
            <w:pPr>
              <w:spacing w:line="360" w:lineRule="exact"/>
              <w:jc w:val="center"/>
              <w:rPr>
                <w:rFonts w:ascii="仿宋_GB2312" w:hAnsi="Calibri"/>
                <w:b/>
                <w:bCs/>
                <w:sz w:val="28"/>
                <w:szCs w:val="28"/>
              </w:rPr>
            </w:pPr>
            <w:r>
              <w:rPr>
                <w:rFonts w:hint="eastAsia" w:ascii="仿宋_GB2312" w:hAnsi="Calibri" w:cs="仿宋_GB2312"/>
                <w:b/>
                <w:bCs/>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86" w:type="dxa"/>
            <w:vMerge w:val="restart"/>
            <w:tcBorders>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龙华新区和坪山新区领导干部自然资源资产离任审计</w:t>
            </w:r>
          </w:p>
        </w:tc>
        <w:tc>
          <w:tcPr>
            <w:tcW w:w="510" w:type="dxa"/>
            <w:vMerge w:val="restart"/>
            <w:tcBorders>
              <w:left w:val="single" w:color="auto" w:sz="4" w:space="0"/>
              <w:bottom w:val="single" w:color="auto" w:sz="4" w:space="0"/>
              <w:right w:val="single" w:color="auto" w:sz="4" w:space="0"/>
            </w:tcBorders>
            <w:noWrap w:val="0"/>
            <w:vAlign w:val="center"/>
          </w:tcPr>
          <w:p>
            <w:pPr>
              <w:spacing w:line="330" w:lineRule="exact"/>
              <w:rPr>
                <w:rFonts w:ascii="仿宋_GB2312" w:hAnsi="宋体" w:cs="仿宋_GB2312"/>
                <w:sz w:val="24"/>
                <w:szCs w:val="24"/>
              </w:rPr>
            </w:pPr>
            <w:r>
              <w:rPr>
                <w:rFonts w:ascii="仿宋_GB2312" w:hAnsi="宋体" w:cs="仿宋_GB2312"/>
                <w:sz w:val="24"/>
                <w:szCs w:val="24"/>
              </w:rPr>
              <w:t>8</w:t>
            </w:r>
          </w:p>
        </w:tc>
        <w:tc>
          <w:tcPr>
            <w:tcW w:w="1258" w:type="dxa"/>
            <w:tcBorders>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自然资源资产管理和生态环境保护相关资金管理使用存在不足。</w:t>
            </w:r>
          </w:p>
        </w:tc>
        <w:tc>
          <w:tcPr>
            <w:tcW w:w="901" w:type="dxa"/>
            <w:tcBorders>
              <w:left w:val="single" w:color="auto" w:sz="4" w:space="0"/>
              <w:bottom w:val="single" w:color="auto" w:sz="4" w:space="0"/>
              <w:right w:val="single" w:color="auto" w:sz="4" w:space="0"/>
            </w:tcBorders>
            <w:noWrap w:val="0"/>
            <w:vAlign w:val="center"/>
          </w:tcPr>
          <w:p>
            <w:pPr>
              <w:spacing w:line="330" w:lineRule="exact"/>
              <w:jc w:val="center"/>
              <w:rPr>
                <w:rFonts w:ascii="仿宋_GB2312" w:hAnsi="宋体" w:cs="仿宋_GB2312"/>
                <w:sz w:val="24"/>
                <w:szCs w:val="24"/>
              </w:rPr>
            </w:pPr>
            <w:r>
              <w:rPr>
                <w:rFonts w:ascii="仿宋_GB2312" w:hAnsi="宋体" w:cs="仿宋_GB2312"/>
                <w:sz w:val="24"/>
                <w:szCs w:val="24"/>
              </w:rPr>
              <w:t>31</w:t>
            </w:r>
          </w:p>
        </w:tc>
        <w:tc>
          <w:tcPr>
            <w:tcW w:w="2871" w:type="dxa"/>
            <w:tcBorders>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ascii="仿宋_GB2312" w:hAnsi="宋体" w:cs="仿宋_GB2312"/>
                <w:sz w:val="24"/>
                <w:szCs w:val="24"/>
              </w:rPr>
              <w:t>2014</w:t>
            </w:r>
            <w:r>
              <w:rPr>
                <w:rFonts w:hint="eastAsia" w:ascii="仿宋_GB2312" w:hAnsi="宋体" w:cs="仿宋_GB2312"/>
                <w:sz w:val="24"/>
                <w:szCs w:val="24"/>
              </w:rPr>
              <w:t>年度，龙华新区安排财政预算资金</w:t>
            </w:r>
            <w:r>
              <w:rPr>
                <w:rFonts w:ascii="仿宋_GB2312" w:hAnsi="宋体" w:cs="仿宋_GB2312"/>
                <w:sz w:val="24"/>
                <w:szCs w:val="24"/>
              </w:rPr>
              <w:t>16.37</w:t>
            </w:r>
            <w:r>
              <w:rPr>
                <w:rFonts w:hint="eastAsia" w:ascii="仿宋_GB2312" w:hAnsi="宋体" w:cs="仿宋_GB2312"/>
                <w:sz w:val="24"/>
                <w:szCs w:val="24"/>
              </w:rPr>
              <w:t>亿元，实际支出</w:t>
            </w:r>
            <w:r>
              <w:rPr>
                <w:rFonts w:ascii="仿宋_GB2312" w:hAnsi="宋体" w:cs="仿宋_GB2312"/>
                <w:sz w:val="24"/>
                <w:szCs w:val="24"/>
              </w:rPr>
              <w:t>11.64</w:t>
            </w:r>
            <w:r>
              <w:rPr>
                <w:rFonts w:hint="eastAsia" w:ascii="仿宋_GB2312" w:hAnsi="宋体" w:cs="仿宋_GB2312"/>
                <w:sz w:val="24"/>
                <w:szCs w:val="24"/>
              </w:rPr>
              <w:t>亿元，预算执行率</w:t>
            </w:r>
            <w:r>
              <w:rPr>
                <w:rFonts w:ascii="仿宋_GB2312" w:hAnsi="宋体" w:cs="仿宋_GB2312"/>
                <w:sz w:val="24"/>
                <w:szCs w:val="24"/>
              </w:rPr>
              <w:t>71.11%</w:t>
            </w:r>
            <w:r>
              <w:rPr>
                <w:rFonts w:hint="eastAsia" w:ascii="仿宋_GB2312" w:hAnsi="宋体" w:cs="仿宋_GB2312"/>
                <w:sz w:val="24"/>
                <w:szCs w:val="24"/>
              </w:rPr>
              <w:t>；</w:t>
            </w:r>
            <w:r>
              <w:rPr>
                <w:rFonts w:ascii="仿宋_GB2312" w:hAnsi="宋体" w:cs="仿宋_GB2312"/>
                <w:sz w:val="24"/>
                <w:szCs w:val="24"/>
              </w:rPr>
              <w:t>2015</w:t>
            </w:r>
            <w:r>
              <w:rPr>
                <w:rFonts w:hint="eastAsia" w:ascii="仿宋_GB2312" w:hAnsi="宋体" w:cs="仿宋_GB2312"/>
                <w:sz w:val="24"/>
                <w:szCs w:val="24"/>
              </w:rPr>
              <w:t>年度预算安排</w:t>
            </w:r>
            <w:r>
              <w:rPr>
                <w:rFonts w:ascii="仿宋_GB2312" w:hAnsi="宋体" w:cs="仿宋_GB2312"/>
                <w:sz w:val="24"/>
                <w:szCs w:val="24"/>
              </w:rPr>
              <w:t>27.24</w:t>
            </w:r>
            <w:r>
              <w:rPr>
                <w:rFonts w:hint="eastAsia" w:ascii="仿宋_GB2312" w:hAnsi="宋体" w:cs="仿宋_GB2312"/>
                <w:sz w:val="24"/>
                <w:szCs w:val="24"/>
              </w:rPr>
              <w:t>亿元，实际支出</w:t>
            </w:r>
            <w:r>
              <w:rPr>
                <w:rFonts w:ascii="仿宋_GB2312" w:hAnsi="宋体" w:cs="仿宋_GB2312"/>
                <w:sz w:val="24"/>
                <w:szCs w:val="24"/>
              </w:rPr>
              <w:t>18.42</w:t>
            </w:r>
            <w:r>
              <w:rPr>
                <w:rFonts w:hint="eastAsia" w:ascii="仿宋_GB2312" w:hAnsi="宋体" w:cs="仿宋_GB2312"/>
                <w:sz w:val="24"/>
                <w:szCs w:val="24"/>
              </w:rPr>
              <w:t>亿元，预算执行率为</w:t>
            </w:r>
            <w:r>
              <w:rPr>
                <w:rFonts w:ascii="仿宋_GB2312" w:hAnsi="宋体" w:cs="仿宋_GB2312"/>
                <w:sz w:val="24"/>
                <w:szCs w:val="24"/>
              </w:rPr>
              <w:t>67.62%</w:t>
            </w:r>
            <w:r>
              <w:rPr>
                <w:rFonts w:hint="eastAsia" w:ascii="仿宋_GB2312" w:hAnsi="宋体" w:cs="仿宋_GB2312"/>
                <w:sz w:val="24"/>
                <w:szCs w:val="24"/>
              </w:rPr>
              <w:t>，预算执行率偏低。</w:t>
            </w:r>
          </w:p>
        </w:tc>
        <w:tc>
          <w:tcPr>
            <w:tcW w:w="1260" w:type="dxa"/>
            <w:tcBorders>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龙华区政府</w:t>
            </w:r>
          </w:p>
        </w:tc>
        <w:tc>
          <w:tcPr>
            <w:tcW w:w="6106" w:type="dxa"/>
            <w:tcBorders>
              <w:left w:val="single" w:color="auto" w:sz="4" w:space="0"/>
              <w:bottom w:val="single" w:color="auto" w:sz="4" w:space="0"/>
              <w:right w:val="single" w:color="auto" w:sz="4" w:space="0"/>
            </w:tcBorders>
            <w:noWrap w:val="0"/>
            <w:vAlign w:val="center"/>
          </w:tcPr>
          <w:p>
            <w:pPr>
              <w:adjustRightInd w:val="0"/>
              <w:snapToGrid w:val="0"/>
              <w:spacing w:line="330" w:lineRule="exact"/>
              <w:rPr>
                <w:rFonts w:ascii="仿宋_GB2312" w:hAnsi="宋体"/>
                <w:sz w:val="24"/>
                <w:szCs w:val="24"/>
              </w:rPr>
            </w:pPr>
            <w:r>
              <w:rPr>
                <w:rFonts w:hint="eastAsia" w:ascii="仿宋_GB2312" w:hAnsi="宋体" w:cs="仿宋_GB2312"/>
                <w:sz w:val="24"/>
                <w:szCs w:val="24"/>
              </w:rPr>
              <w:t>龙华区政府加强对预算支出的管理和监督，提高预算执行率，切实发挥财政资金在经济社会发展中的效益。</w:t>
            </w:r>
          </w:p>
        </w:tc>
        <w:tc>
          <w:tcPr>
            <w:tcW w:w="1284" w:type="dxa"/>
            <w:tcBorders>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仿宋_GB2312" w:hAnsi="宋体"/>
                <w:sz w:val="24"/>
                <w:szCs w:val="24"/>
              </w:rPr>
            </w:pPr>
          </w:p>
        </w:tc>
        <w:tc>
          <w:tcPr>
            <w:tcW w:w="12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饮用水源保护存在隐患。</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仿宋_GB2312" w:hAnsi="宋体" w:cs="仿宋_GB2312"/>
                <w:sz w:val="24"/>
                <w:szCs w:val="24"/>
              </w:rPr>
            </w:pPr>
            <w:r>
              <w:rPr>
                <w:rFonts w:ascii="仿宋_GB2312" w:hAnsi="宋体" w:cs="仿宋_GB2312"/>
                <w:sz w:val="24"/>
                <w:szCs w:val="24"/>
              </w:rPr>
              <w:t>32</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审计发现，坪山新区境内共</w:t>
            </w:r>
            <w:r>
              <w:rPr>
                <w:rFonts w:ascii="仿宋_GB2312" w:hAnsi="宋体" w:cs="仿宋_GB2312"/>
                <w:sz w:val="24"/>
                <w:szCs w:val="24"/>
              </w:rPr>
              <w:t>20</w:t>
            </w:r>
            <w:r>
              <w:rPr>
                <w:rFonts w:hint="eastAsia" w:ascii="仿宋_GB2312" w:hAnsi="宋体" w:cs="仿宋_GB2312"/>
                <w:sz w:val="24"/>
                <w:szCs w:val="24"/>
              </w:rPr>
              <w:t>宗水库，该新区归口管理共</w:t>
            </w:r>
            <w:r>
              <w:rPr>
                <w:rFonts w:ascii="仿宋_GB2312" w:hAnsi="宋体" w:cs="仿宋_GB2312"/>
                <w:sz w:val="24"/>
                <w:szCs w:val="24"/>
              </w:rPr>
              <w:t>18</w:t>
            </w:r>
            <w:r>
              <w:rPr>
                <w:rFonts w:hint="eastAsia" w:ascii="仿宋_GB2312" w:hAnsi="宋体" w:cs="仿宋_GB2312"/>
                <w:sz w:val="24"/>
                <w:szCs w:val="24"/>
              </w:rPr>
              <w:t>宗，其中</w:t>
            </w:r>
            <w:r>
              <w:rPr>
                <w:rFonts w:ascii="仿宋_GB2312" w:hAnsi="宋体" w:cs="仿宋_GB2312"/>
                <w:sz w:val="24"/>
                <w:szCs w:val="24"/>
              </w:rPr>
              <w:t>16</w:t>
            </w:r>
            <w:r>
              <w:rPr>
                <w:rFonts w:hint="eastAsia" w:ascii="仿宋_GB2312" w:hAnsi="宋体" w:cs="仿宋_GB2312"/>
                <w:sz w:val="24"/>
                <w:szCs w:val="24"/>
              </w:rPr>
              <w:t>宗尚未确权，</w:t>
            </w:r>
            <w:r>
              <w:rPr>
                <w:rFonts w:ascii="仿宋_GB2312" w:hAnsi="宋体" w:cs="仿宋_GB2312"/>
                <w:sz w:val="24"/>
                <w:szCs w:val="24"/>
              </w:rPr>
              <w:t>11</w:t>
            </w:r>
            <w:r>
              <w:rPr>
                <w:rFonts w:hint="eastAsia" w:ascii="仿宋_GB2312" w:hAnsi="宋体" w:cs="仿宋_GB2312"/>
                <w:sz w:val="24"/>
                <w:szCs w:val="24"/>
              </w:rPr>
              <w:t>宗尚未划界，不利于明确水库的责任主体与管理权限，影响新区水资源安全。经现场调研，发现马峦山红花岭水库水源保护区周边存在多处农家乐餐厅</w:t>
            </w:r>
            <w:r>
              <w:rPr>
                <w:rFonts w:ascii="仿宋_GB2312" w:hAnsi="宋体" w:cs="仿宋_GB2312"/>
                <w:sz w:val="24"/>
                <w:szCs w:val="24"/>
              </w:rPr>
              <w:t>,</w:t>
            </w:r>
            <w:r>
              <w:rPr>
                <w:rFonts w:hint="eastAsia" w:ascii="仿宋_GB2312" w:hAnsi="宋体" w:cs="仿宋_GB2312"/>
                <w:sz w:val="24"/>
                <w:szCs w:val="24"/>
              </w:rPr>
              <w:t>饮用水源水质有安全隐患。</w:t>
            </w:r>
          </w:p>
        </w:tc>
        <w:tc>
          <w:tcPr>
            <w:tcW w:w="1260" w:type="dxa"/>
            <w:vMerge w:val="restart"/>
            <w:tcBorders>
              <w:top w:val="single" w:color="auto" w:sz="4" w:space="0"/>
              <w:left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坪山区政府、龙华区政府</w:t>
            </w:r>
          </w:p>
        </w:tc>
        <w:tc>
          <w:tcPr>
            <w:tcW w:w="61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0" w:lineRule="exact"/>
              <w:rPr>
                <w:rFonts w:ascii="仿宋_GB2312" w:hAnsi="宋体"/>
                <w:sz w:val="24"/>
                <w:szCs w:val="24"/>
              </w:rPr>
            </w:pPr>
            <w:r>
              <w:rPr>
                <w:rFonts w:hint="eastAsia" w:ascii="仿宋_GB2312" w:hAnsi="宋体" w:cs="仿宋_GB2312"/>
                <w:sz w:val="24"/>
                <w:szCs w:val="24"/>
              </w:rPr>
              <w:t>针对部分水库未确权、未划界的问题，坪山区政府目前已完成</w:t>
            </w:r>
            <w:r>
              <w:rPr>
                <w:rFonts w:ascii="仿宋_GB2312" w:hAnsi="宋体" w:cs="仿宋_GB2312"/>
                <w:sz w:val="24"/>
                <w:szCs w:val="24"/>
              </w:rPr>
              <w:t>17</w:t>
            </w:r>
            <w:r>
              <w:rPr>
                <w:rFonts w:hint="eastAsia" w:ascii="仿宋_GB2312" w:hAnsi="宋体" w:cs="仿宋_GB2312"/>
                <w:sz w:val="24"/>
                <w:szCs w:val="24"/>
              </w:rPr>
              <w:t>座水库的确权划界工作，另外</w:t>
            </w:r>
            <w:r>
              <w:rPr>
                <w:rFonts w:ascii="仿宋_GB2312" w:hAnsi="宋体" w:cs="仿宋_GB2312"/>
                <w:sz w:val="24"/>
                <w:szCs w:val="24"/>
              </w:rPr>
              <w:t>3</w:t>
            </w:r>
            <w:r>
              <w:rPr>
                <w:rFonts w:hint="eastAsia" w:ascii="仿宋_GB2312" w:hAnsi="宋体" w:cs="仿宋_GB2312"/>
                <w:sz w:val="24"/>
                <w:szCs w:val="24"/>
              </w:rPr>
              <w:t>座水库为基本农田保护区用地，无需确权划界。</w:t>
            </w:r>
          </w:p>
          <w:p>
            <w:pPr>
              <w:spacing w:line="330" w:lineRule="exact"/>
              <w:rPr>
                <w:rFonts w:ascii="仿宋_GB2312" w:hAnsi="宋体"/>
                <w:sz w:val="24"/>
                <w:szCs w:val="24"/>
              </w:rPr>
            </w:pPr>
            <w:r>
              <w:rPr>
                <w:rFonts w:hint="eastAsia" w:ascii="仿宋_GB2312" w:hAnsi="宋体" w:cs="仿宋_GB2312"/>
                <w:sz w:val="24"/>
                <w:szCs w:val="24"/>
              </w:rPr>
              <w:t>针对马峦山红花岭水库水源保护区周边存在农家乐餐厅的问题，坪山区政府制定了马峦山水源保护区环保专项执法检查工作方案，出动执法人员</w:t>
            </w:r>
            <w:r>
              <w:rPr>
                <w:rFonts w:ascii="仿宋_GB2312" w:hAnsi="宋体" w:cs="仿宋_GB2312"/>
                <w:sz w:val="24"/>
                <w:szCs w:val="24"/>
              </w:rPr>
              <w:t>132</w:t>
            </w:r>
            <w:r>
              <w:rPr>
                <w:rFonts w:hint="eastAsia" w:ascii="仿宋_GB2312" w:hAnsi="宋体" w:cs="仿宋_GB2312"/>
                <w:sz w:val="24"/>
                <w:szCs w:val="24"/>
              </w:rPr>
              <w:t>人次，对马峦山农家乐餐厅进行现场查处。目前已对</w:t>
            </w:r>
            <w:r>
              <w:rPr>
                <w:rFonts w:ascii="仿宋_GB2312" w:hAnsi="宋体" w:cs="仿宋_GB2312"/>
                <w:sz w:val="24"/>
                <w:szCs w:val="24"/>
              </w:rPr>
              <w:t>33</w:t>
            </w:r>
            <w:r>
              <w:rPr>
                <w:rFonts w:hint="eastAsia" w:ascii="仿宋_GB2312" w:hAnsi="宋体" w:cs="仿宋_GB2312"/>
                <w:sz w:val="24"/>
                <w:szCs w:val="24"/>
              </w:rPr>
              <w:t>家违法排污的农家乐餐厅进行调查取证，依法下达行政处罚决定书，责令立即停业，并处以</w:t>
            </w:r>
            <w:r>
              <w:rPr>
                <w:rFonts w:ascii="仿宋_GB2312" w:hAnsi="宋体" w:cs="仿宋_GB2312"/>
                <w:sz w:val="24"/>
                <w:szCs w:val="24"/>
              </w:rPr>
              <w:t>2</w:t>
            </w:r>
            <w:r>
              <w:rPr>
                <w:rFonts w:hint="eastAsia" w:ascii="仿宋_GB2312" w:hAnsi="宋体" w:cs="仿宋_GB2312"/>
                <w:sz w:val="24"/>
                <w:szCs w:val="24"/>
              </w:rPr>
              <w:t>万元的罚款。</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已经整改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30"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top"/>
          </w:tcPr>
          <w:p>
            <w:pPr>
              <w:spacing w:line="330" w:lineRule="exact"/>
              <w:rPr>
                <w:rFonts w:ascii="仿宋_GB2312" w:hAnsi="宋体"/>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pPr>
              <w:spacing w:line="330" w:lineRule="exact"/>
              <w:jc w:val="center"/>
              <w:rPr>
                <w:rFonts w:ascii="仿宋_GB2312" w:hAnsi="宋体"/>
                <w:sz w:val="24"/>
                <w:szCs w:val="24"/>
              </w:rPr>
            </w:pPr>
          </w:p>
        </w:tc>
        <w:tc>
          <w:tcPr>
            <w:tcW w:w="1258" w:type="dxa"/>
            <w:vMerge w:val="continue"/>
            <w:tcBorders>
              <w:top w:val="single" w:color="auto" w:sz="4" w:space="0"/>
              <w:left w:val="single" w:color="auto" w:sz="4" w:space="0"/>
              <w:bottom w:val="single" w:color="auto" w:sz="4" w:space="0"/>
              <w:right w:val="single" w:color="auto" w:sz="4" w:space="0"/>
            </w:tcBorders>
            <w:noWrap w:val="0"/>
            <w:vAlign w:val="top"/>
          </w:tcPr>
          <w:p>
            <w:pPr>
              <w:spacing w:line="330" w:lineRule="exact"/>
              <w:rPr>
                <w:rFonts w:ascii="仿宋_GB2312" w:hAnsi="宋体"/>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仿宋_GB2312" w:hAnsi="宋体" w:cs="仿宋_GB2312"/>
                <w:sz w:val="24"/>
                <w:szCs w:val="24"/>
              </w:rPr>
            </w:pPr>
            <w:r>
              <w:rPr>
                <w:rFonts w:ascii="仿宋_GB2312" w:hAnsi="宋体" w:cs="仿宋_GB2312"/>
                <w:sz w:val="24"/>
                <w:szCs w:val="24"/>
              </w:rPr>
              <w:t>33</w:t>
            </w:r>
          </w:p>
        </w:tc>
        <w:tc>
          <w:tcPr>
            <w:tcW w:w="287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龙华新区饮用水源保护区与农业用地重合，该新区未对这些地块开展有针对性的监管，不利于饮用水源保护。</w:t>
            </w:r>
          </w:p>
        </w:tc>
        <w:tc>
          <w:tcPr>
            <w:tcW w:w="1260" w:type="dxa"/>
            <w:vMerge w:val="continue"/>
            <w:tcBorders>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p>
        </w:tc>
        <w:tc>
          <w:tcPr>
            <w:tcW w:w="6106"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ascii="仿宋_GB2312" w:hAnsi="宋体"/>
                <w:sz w:val="24"/>
                <w:szCs w:val="24"/>
              </w:rPr>
            </w:pPr>
            <w:r>
              <w:rPr>
                <w:rFonts w:hint="eastAsia" w:ascii="仿宋_GB2312" w:hAnsi="宋体" w:cs="仿宋_GB2312"/>
                <w:sz w:val="24"/>
                <w:szCs w:val="24"/>
              </w:rPr>
              <w:t>经市规划国土委、市水务局、龙华区政府三方协调，目前已确定由市水务局依法对该地块进行日常管理。</w:t>
            </w:r>
          </w:p>
        </w:tc>
        <w:tc>
          <w:tcPr>
            <w:tcW w:w="1284" w:type="dxa"/>
            <w:tcBorders>
              <w:top w:val="single" w:color="auto" w:sz="4" w:space="0"/>
              <w:left w:val="single" w:color="auto" w:sz="4" w:space="0"/>
              <w:bottom w:val="single" w:color="auto" w:sz="4" w:space="0"/>
              <w:right w:val="single" w:color="auto" w:sz="4" w:space="0"/>
            </w:tcBorders>
            <w:noWrap w:val="0"/>
            <w:vAlign w:val="top"/>
          </w:tcPr>
          <w:p>
            <w:pPr>
              <w:spacing w:line="330" w:lineRule="exact"/>
              <w:rPr>
                <w:rFonts w:ascii="仿宋_GB2312" w:hAnsi="宋体"/>
                <w:sz w:val="24"/>
                <w:szCs w:val="24"/>
              </w:rPr>
            </w:pPr>
            <w:r>
              <w:rPr>
                <w:rFonts w:hint="eastAsia" w:ascii="仿宋_GB2312" w:hAnsi="宋体" w:cs="仿宋_GB2312"/>
                <w:sz w:val="24"/>
                <w:szCs w:val="24"/>
              </w:rPr>
              <w:t>已经整改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zI4MTJhNzcwYjEwZTA4YmEyZmE5ZTY3NDA1N2QifQ=="/>
  </w:docVars>
  <w:rsids>
    <w:rsidRoot w:val="7C633723"/>
    <w:rsid w:val="7C63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Calibri"/>
      <w:kern w:val="0"/>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6658</Words>
  <Characters>6909</Characters>
  <Lines>0</Lines>
  <Paragraphs>0</Paragraphs>
  <TotalTime>0</TotalTime>
  <ScaleCrop>false</ScaleCrop>
  <LinksUpToDate>false</LinksUpToDate>
  <CharactersWithSpaces>6918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2022-06-01T02:45:00Z</dcterms:created>
  <dc:creator>Administrator</dc:creator>
  <cp:lastModifiedBy>Administrator</cp:lastModifiedBy>
  <dcterms:modified xsi:type="dcterms:W3CDTF">2022-06-01T02:46:29Z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CEAF6B79D6044E1DA03E288F58AB7E57</vt:lpwstr>
  </property>
</Properties>
</file>