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10" w:lineRule="exact"/>
        <w:rPr>
          <w:rFonts w:ascii="黑体" w:hAnsi="黑体" w:eastAsia="黑体" w:cs="楷体"/>
          <w:bCs/>
          <w:szCs w:val="32"/>
        </w:rPr>
      </w:pPr>
      <w:r>
        <w:rPr>
          <w:rFonts w:hint="eastAsia" w:ascii="黑体" w:hAnsi="黑体" w:eastAsia="黑体" w:cs="楷体"/>
          <w:bCs/>
          <w:szCs w:val="32"/>
        </w:rPr>
        <w:t>附件1</w:t>
      </w:r>
    </w:p>
    <w:p>
      <w:pPr>
        <w:adjustRightInd w:val="0"/>
        <w:snapToGrid w:val="0"/>
        <w:spacing w:line="510" w:lineRule="exact"/>
        <w:jc w:val="center"/>
        <w:rPr>
          <w:rFonts w:ascii="方正小标宋_GBK" w:hAnsi="方正小标宋_GBK" w:eastAsia="方正小标宋_GBK" w:cs="方正小标宋_GBK"/>
          <w:bCs/>
          <w:sz w:val="44"/>
          <w:szCs w:val="44"/>
        </w:rPr>
      </w:pPr>
      <w:bookmarkStart w:id="0" w:name="_GoBack"/>
      <w:r>
        <w:rPr>
          <w:rFonts w:hint="eastAsia" w:ascii="方正小标宋_GBK" w:hAnsi="方正小标宋_GBK" w:eastAsia="方正小标宋_GBK" w:cs="方正小标宋_GBK"/>
          <w:bCs/>
          <w:sz w:val="44"/>
          <w:szCs w:val="44"/>
        </w:rPr>
        <w:t>深圳市2020年度本级预算执行和其他财政收支审计查出问题</w:t>
      </w:r>
    </w:p>
    <w:p>
      <w:pPr>
        <w:adjustRightInd w:val="0"/>
        <w:snapToGrid w:val="0"/>
        <w:spacing w:line="510" w:lineRule="exact"/>
        <w:jc w:val="center"/>
        <w:rPr>
          <w:rFonts w:ascii="方正小标宋_GBK" w:hAnsi="方正小标宋_GBK" w:eastAsia="方正小标宋_GBK" w:cs="方正小标宋_GBK"/>
          <w:bCs/>
          <w:sz w:val="44"/>
          <w:szCs w:val="44"/>
        </w:rPr>
      </w:pPr>
      <w:r>
        <w:rPr>
          <w:rFonts w:hint="eastAsia" w:ascii="方正小标宋_GBK" w:hAnsi="方正小标宋_GBK" w:eastAsia="方正小标宋_GBK" w:cs="方正小标宋_GBK"/>
          <w:bCs/>
          <w:sz w:val="44"/>
          <w:szCs w:val="44"/>
        </w:rPr>
        <w:t>正在整改事项一览表</w:t>
      </w:r>
    </w:p>
    <w:bookmarkEnd w:id="0"/>
    <w:tbl>
      <w:tblPr>
        <w:tblStyle w:val="3"/>
        <w:tblW w:w="155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
        <w:gridCol w:w="812"/>
        <w:gridCol w:w="12"/>
        <w:gridCol w:w="874"/>
        <w:gridCol w:w="880"/>
        <w:gridCol w:w="2708"/>
        <w:gridCol w:w="1723"/>
        <w:gridCol w:w="1290"/>
        <w:gridCol w:w="2226"/>
        <w:gridCol w:w="41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blHeader/>
          <w:jc w:val="center"/>
        </w:trPr>
        <w:tc>
          <w:tcPr>
            <w:tcW w:w="793" w:type="dxa"/>
            <w:vMerge w:val="restart"/>
            <w:vAlign w:val="center"/>
          </w:tcPr>
          <w:p>
            <w:pPr>
              <w:widowControl/>
              <w:spacing w:line="360" w:lineRule="exact"/>
              <w:jc w:val="center"/>
              <w:rPr>
                <w:rFonts w:ascii="仿宋_GB2312" w:hAnsi="仿宋_GB2312" w:cs="仿宋_GB2312"/>
                <w:b/>
                <w:bCs/>
                <w:color w:val="000000"/>
                <w:kern w:val="0"/>
                <w:sz w:val="28"/>
                <w:szCs w:val="28"/>
              </w:rPr>
            </w:pPr>
            <w:r>
              <w:rPr>
                <w:rFonts w:hint="eastAsia" w:ascii="仿宋_GB2312" w:hAnsi="仿宋_GB2312" w:cs="仿宋_GB2312"/>
                <w:b/>
                <w:bCs/>
                <w:color w:val="000000"/>
                <w:kern w:val="0"/>
                <w:sz w:val="28"/>
                <w:szCs w:val="28"/>
              </w:rPr>
              <w:t>序号</w:t>
            </w:r>
          </w:p>
        </w:tc>
        <w:tc>
          <w:tcPr>
            <w:tcW w:w="824" w:type="dxa"/>
            <w:gridSpan w:val="2"/>
            <w:vMerge w:val="restart"/>
            <w:vAlign w:val="center"/>
          </w:tcPr>
          <w:p>
            <w:pPr>
              <w:widowControl/>
              <w:spacing w:line="360" w:lineRule="exact"/>
              <w:jc w:val="center"/>
              <w:rPr>
                <w:rFonts w:ascii="仿宋_GB2312" w:hAnsi="仿宋_GB2312" w:cs="仿宋_GB2312"/>
                <w:b/>
                <w:bCs/>
                <w:color w:val="000000"/>
                <w:kern w:val="0"/>
                <w:sz w:val="28"/>
                <w:szCs w:val="28"/>
              </w:rPr>
            </w:pPr>
            <w:r>
              <w:rPr>
                <w:rFonts w:hint="eastAsia" w:ascii="仿宋_GB2312" w:hAnsi="仿宋_GB2312" w:cs="仿宋_GB2312"/>
                <w:b/>
                <w:bCs/>
                <w:color w:val="000000"/>
                <w:kern w:val="0"/>
                <w:sz w:val="28"/>
                <w:szCs w:val="28"/>
              </w:rPr>
              <w:t>项目</w:t>
            </w:r>
          </w:p>
        </w:tc>
        <w:tc>
          <w:tcPr>
            <w:tcW w:w="874" w:type="dxa"/>
            <w:vMerge w:val="restart"/>
            <w:vAlign w:val="center"/>
          </w:tcPr>
          <w:p>
            <w:pPr>
              <w:widowControl/>
              <w:spacing w:line="360" w:lineRule="exact"/>
              <w:jc w:val="center"/>
              <w:rPr>
                <w:rFonts w:ascii="仿宋_GB2312" w:hAnsi="仿宋_GB2312" w:cs="仿宋_GB2312"/>
                <w:b/>
                <w:bCs/>
                <w:color w:val="000000"/>
                <w:kern w:val="0"/>
                <w:sz w:val="28"/>
                <w:szCs w:val="28"/>
              </w:rPr>
            </w:pPr>
            <w:r>
              <w:rPr>
                <w:rFonts w:hint="eastAsia" w:ascii="仿宋_GB2312" w:hAnsi="仿宋_GB2312" w:cs="仿宋_GB2312"/>
                <w:b/>
                <w:bCs/>
                <w:color w:val="000000"/>
                <w:kern w:val="0"/>
                <w:sz w:val="28"/>
                <w:szCs w:val="28"/>
              </w:rPr>
              <w:t>类别</w:t>
            </w:r>
          </w:p>
        </w:tc>
        <w:tc>
          <w:tcPr>
            <w:tcW w:w="3588" w:type="dxa"/>
            <w:gridSpan w:val="2"/>
            <w:vMerge w:val="restart"/>
            <w:vAlign w:val="center"/>
          </w:tcPr>
          <w:p>
            <w:pPr>
              <w:widowControl/>
              <w:spacing w:line="360" w:lineRule="exact"/>
              <w:jc w:val="center"/>
              <w:rPr>
                <w:rFonts w:ascii="仿宋_GB2312" w:hAnsi="仿宋_GB2312" w:cs="仿宋_GB2312"/>
                <w:b/>
                <w:bCs/>
                <w:color w:val="000000"/>
                <w:kern w:val="0"/>
                <w:sz w:val="28"/>
                <w:szCs w:val="28"/>
              </w:rPr>
            </w:pPr>
            <w:r>
              <w:rPr>
                <w:rFonts w:hint="eastAsia" w:ascii="仿宋_GB2312" w:hAnsi="仿宋_GB2312" w:cs="仿宋_GB2312"/>
                <w:b/>
                <w:bCs/>
                <w:color w:val="000000"/>
                <w:kern w:val="0"/>
                <w:sz w:val="28"/>
                <w:szCs w:val="28"/>
              </w:rPr>
              <w:t>内容</w:t>
            </w:r>
          </w:p>
        </w:tc>
        <w:tc>
          <w:tcPr>
            <w:tcW w:w="3013" w:type="dxa"/>
            <w:gridSpan w:val="2"/>
            <w:vAlign w:val="center"/>
          </w:tcPr>
          <w:p>
            <w:pPr>
              <w:widowControl/>
              <w:spacing w:line="360" w:lineRule="exact"/>
              <w:jc w:val="center"/>
              <w:rPr>
                <w:rFonts w:ascii="仿宋_GB2312" w:hAnsi="仿宋_GB2312" w:cs="仿宋_GB2312"/>
                <w:b/>
                <w:bCs/>
                <w:color w:val="000000"/>
                <w:kern w:val="0"/>
                <w:sz w:val="28"/>
                <w:szCs w:val="28"/>
              </w:rPr>
            </w:pPr>
            <w:r>
              <w:rPr>
                <w:rFonts w:hint="eastAsia" w:ascii="仿宋_GB2312" w:hAnsi="仿宋_GB2312" w:cs="仿宋_GB2312"/>
                <w:b/>
                <w:bCs/>
                <w:color w:val="000000"/>
                <w:kern w:val="0"/>
                <w:sz w:val="28"/>
                <w:szCs w:val="28"/>
              </w:rPr>
              <w:t>责任单位</w:t>
            </w:r>
          </w:p>
        </w:tc>
        <w:tc>
          <w:tcPr>
            <w:tcW w:w="2226" w:type="dxa"/>
            <w:vMerge w:val="restart"/>
            <w:vAlign w:val="center"/>
          </w:tcPr>
          <w:p>
            <w:pPr>
              <w:widowControl/>
              <w:spacing w:line="360" w:lineRule="exact"/>
              <w:jc w:val="center"/>
              <w:rPr>
                <w:rFonts w:ascii="仿宋_GB2312" w:hAnsi="仿宋_GB2312" w:cs="仿宋_GB2312"/>
                <w:b/>
                <w:bCs/>
                <w:color w:val="000000"/>
                <w:kern w:val="0"/>
                <w:sz w:val="28"/>
                <w:szCs w:val="28"/>
              </w:rPr>
            </w:pPr>
            <w:r>
              <w:rPr>
                <w:rFonts w:hint="eastAsia" w:ascii="仿宋_GB2312" w:hAnsi="仿宋_GB2312" w:cs="仿宋_GB2312"/>
                <w:b/>
                <w:bCs/>
                <w:color w:val="000000"/>
                <w:kern w:val="0"/>
                <w:sz w:val="28"/>
                <w:szCs w:val="28"/>
              </w:rPr>
              <w:t>审计建议</w:t>
            </w:r>
          </w:p>
        </w:tc>
        <w:tc>
          <w:tcPr>
            <w:tcW w:w="4197" w:type="dxa"/>
            <w:vMerge w:val="restart"/>
            <w:vAlign w:val="center"/>
          </w:tcPr>
          <w:p>
            <w:pPr>
              <w:widowControl/>
              <w:spacing w:line="360" w:lineRule="exact"/>
              <w:jc w:val="center"/>
              <w:rPr>
                <w:rFonts w:ascii="仿宋_GB2312" w:hAnsi="仿宋_GB2312" w:cs="仿宋_GB2312"/>
                <w:b/>
                <w:bCs/>
                <w:color w:val="000000"/>
                <w:kern w:val="0"/>
                <w:sz w:val="28"/>
                <w:szCs w:val="28"/>
              </w:rPr>
            </w:pPr>
            <w:r>
              <w:rPr>
                <w:rFonts w:hint="eastAsia" w:ascii="仿宋_GB2312" w:hAnsi="仿宋_GB2312" w:cs="仿宋_GB2312"/>
                <w:b/>
                <w:bCs/>
                <w:color w:val="000000"/>
                <w:kern w:val="0"/>
                <w:sz w:val="28"/>
                <w:szCs w:val="28"/>
              </w:rPr>
              <w:t>整改情况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9" w:hRule="atLeast"/>
          <w:tblHeader/>
          <w:jc w:val="center"/>
        </w:trPr>
        <w:tc>
          <w:tcPr>
            <w:tcW w:w="793" w:type="dxa"/>
            <w:vMerge w:val="continue"/>
            <w:vAlign w:val="center"/>
          </w:tcPr>
          <w:p>
            <w:pPr>
              <w:widowControl/>
              <w:spacing w:line="360" w:lineRule="exact"/>
              <w:jc w:val="left"/>
              <w:rPr>
                <w:rFonts w:ascii="仿宋_GB2312" w:hAnsi="仿宋_GB2312" w:cs="仿宋_GB2312"/>
                <w:b/>
                <w:bCs/>
                <w:color w:val="000000"/>
                <w:kern w:val="0"/>
                <w:sz w:val="28"/>
                <w:szCs w:val="28"/>
              </w:rPr>
            </w:pPr>
          </w:p>
        </w:tc>
        <w:tc>
          <w:tcPr>
            <w:tcW w:w="824" w:type="dxa"/>
            <w:gridSpan w:val="2"/>
            <w:vMerge w:val="continue"/>
            <w:vAlign w:val="center"/>
          </w:tcPr>
          <w:p>
            <w:pPr>
              <w:widowControl/>
              <w:spacing w:line="360" w:lineRule="exact"/>
              <w:jc w:val="left"/>
              <w:rPr>
                <w:rFonts w:ascii="仿宋_GB2312" w:hAnsi="仿宋_GB2312" w:cs="仿宋_GB2312"/>
                <w:b/>
                <w:bCs/>
                <w:color w:val="000000"/>
                <w:kern w:val="0"/>
                <w:sz w:val="28"/>
                <w:szCs w:val="28"/>
              </w:rPr>
            </w:pPr>
          </w:p>
        </w:tc>
        <w:tc>
          <w:tcPr>
            <w:tcW w:w="874" w:type="dxa"/>
            <w:vMerge w:val="continue"/>
            <w:vAlign w:val="center"/>
          </w:tcPr>
          <w:p>
            <w:pPr>
              <w:widowControl/>
              <w:spacing w:line="360" w:lineRule="exact"/>
              <w:jc w:val="left"/>
              <w:rPr>
                <w:rFonts w:ascii="仿宋_GB2312" w:hAnsi="仿宋_GB2312" w:cs="仿宋_GB2312"/>
                <w:b/>
                <w:bCs/>
                <w:color w:val="000000"/>
                <w:kern w:val="0"/>
                <w:sz w:val="28"/>
                <w:szCs w:val="28"/>
              </w:rPr>
            </w:pPr>
          </w:p>
        </w:tc>
        <w:tc>
          <w:tcPr>
            <w:tcW w:w="3588" w:type="dxa"/>
            <w:gridSpan w:val="2"/>
            <w:vMerge w:val="continue"/>
            <w:vAlign w:val="center"/>
          </w:tcPr>
          <w:p>
            <w:pPr>
              <w:widowControl/>
              <w:spacing w:line="360" w:lineRule="exact"/>
              <w:jc w:val="left"/>
              <w:rPr>
                <w:rFonts w:ascii="仿宋_GB2312" w:hAnsi="仿宋_GB2312" w:cs="仿宋_GB2312"/>
                <w:b/>
                <w:bCs/>
                <w:color w:val="000000"/>
                <w:kern w:val="0"/>
                <w:sz w:val="28"/>
                <w:szCs w:val="28"/>
              </w:rPr>
            </w:pPr>
          </w:p>
        </w:tc>
        <w:tc>
          <w:tcPr>
            <w:tcW w:w="1723" w:type="dxa"/>
            <w:vAlign w:val="center"/>
          </w:tcPr>
          <w:p>
            <w:pPr>
              <w:widowControl/>
              <w:spacing w:line="360" w:lineRule="exact"/>
              <w:jc w:val="center"/>
              <w:rPr>
                <w:rFonts w:ascii="仿宋_GB2312" w:hAnsi="仿宋_GB2312" w:cs="仿宋_GB2312"/>
                <w:b/>
                <w:bCs/>
                <w:color w:val="000000"/>
                <w:kern w:val="0"/>
                <w:sz w:val="28"/>
                <w:szCs w:val="28"/>
              </w:rPr>
            </w:pPr>
            <w:r>
              <w:rPr>
                <w:rFonts w:hint="eastAsia" w:ascii="仿宋_GB2312" w:hAnsi="仿宋_GB2312" w:cs="仿宋_GB2312"/>
                <w:b/>
                <w:bCs/>
                <w:color w:val="000000"/>
                <w:kern w:val="0"/>
                <w:sz w:val="28"/>
                <w:szCs w:val="28"/>
              </w:rPr>
              <w:t>已整改或完成阶段性整改</w:t>
            </w:r>
          </w:p>
        </w:tc>
        <w:tc>
          <w:tcPr>
            <w:tcW w:w="1290" w:type="dxa"/>
            <w:vAlign w:val="center"/>
          </w:tcPr>
          <w:p>
            <w:pPr>
              <w:widowControl/>
              <w:spacing w:line="360" w:lineRule="exact"/>
              <w:jc w:val="center"/>
              <w:rPr>
                <w:rFonts w:ascii="仿宋_GB2312" w:hAnsi="仿宋_GB2312" w:cs="仿宋_GB2312"/>
                <w:b/>
                <w:bCs/>
                <w:color w:val="000000"/>
                <w:kern w:val="0"/>
                <w:sz w:val="28"/>
                <w:szCs w:val="28"/>
              </w:rPr>
            </w:pPr>
            <w:r>
              <w:rPr>
                <w:rFonts w:hint="eastAsia" w:ascii="仿宋_GB2312" w:hAnsi="仿宋_GB2312" w:cs="仿宋_GB2312"/>
                <w:b/>
                <w:bCs/>
                <w:color w:val="000000"/>
                <w:kern w:val="0"/>
                <w:sz w:val="28"/>
                <w:szCs w:val="28"/>
              </w:rPr>
              <w:t>正在</w:t>
            </w:r>
          </w:p>
          <w:p>
            <w:pPr>
              <w:widowControl/>
              <w:spacing w:line="360" w:lineRule="exact"/>
              <w:jc w:val="center"/>
              <w:rPr>
                <w:rFonts w:ascii="仿宋_GB2312" w:hAnsi="仿宋_GB2312" w:cs="仿宋_GB2312"/>
                <w:b/>
                <w:bCs/>
                <w:color w:val="000000"/>
                <w:kern w:val="0"/>
                <w:sz w:val="28"/>
                <w:szCs w:val="28"/>
              </w:rPr>
            </w:pPr>
            <w:r>
              <w:rPr>
                <w:rFonts w:hint="eastAsia" w:ascii="仿宋_GB2312" w:hAnsi="仿宋_GB2312" w:cs="仿宋_GB2312"/>
                <w:b/>
                <w:bCs/>
                <w:color w:val="000000"/>
                <w:kern w:val="0"/>
                <w:sz w:val="28"/>
                <w:szCs w:val="28"/>
              </w:rPr>
              <w:t>整改</w:t>
            </w:r>
          </w:p>
        </w:tc>
        <w:tc>
          <w:tcPr>
            <w:tcW w:w="2226" w:type="dxa"/>
            <w:vMerge w:val="continue"/>
            <w:vAlign w:val="center"/>
          </w:tcPr>
          <w:p>
            <w:pPr>
              <w:widowControl/>
              <w:spacing w:line="360" w:lineRule="exact"/>
              <w:jc w:val="left"/>
              <w:rPr>
                <w:rFonts w:ascii="仿宋_GB2312" w:hAnsi="仿宋_GB2312" w:cs="仿宋_GB2312"/>
                <w:b/>
                <w:bCs/>
                <w:color w:val="000000"/>
                <w:kern w:val="0"/>
                <w:sz w:val="28"/>
                <w:szCs w:val="28"/>
              </w:rPr>
            </w:pPr>
          </w:p>
        </w:tc>
        <w:tc>
          <w:tcPr>
            <w:tcW w:w="4197" w:type="dxa"/>
            <w:vMerge w:val="continue"/>
            <w:vAlign w:val="center"/>
          </w:tcPr>
          <w:p>
            <w:pPr>
              <w:widowControl/>
              <w:spacing w:line="360" w:lineRule="exact"/>
              <w:jc w:val="left"/>
              <w:rPr>
                <w:rFonts w:ascii="仿宋_GB2312" w:hAnsi="仿宋_GB2312" w:cs="仿宋_GB2312"/>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3" w:hRule="atLeast"/>
          <w:jc w:val="center"/>
        </w:trPr>
        <w:tc>
          <w:tcPr>
            <w:tcW w:w="793" w:type="dxa"/>
            <w:vAlign w:val="center"/>
          </w:tcPr>
          <w:p>
            <w:pPr>
              <w:widowControl/>
              <w:spacing w:line="310" w:lineRule="exact"/>
              <w:jc w:val="center"/>
              <w:rPr>
                <w:rFonts w:ascii="仿宋_GB2312" w:hAnsi="仿宋_GB2312" w:cs="仿宋_GB2312"/>
                <w:color w:val="000000"/>
                <w:kern w:val="0"/>
                <w:sz w:val="24"/>
                <w:szCs w:val="24"/>
              </w:rPr>
            </w:pPr>
            <w:r>
              <w:rPr>
                <w:rFonts w:hint="eastAsia" w:ascii="仿宋_GB2312" w:hAnsi="仿宋_GB2312" w:cs="仿宋_GB2312"/>
                <w:color w:val="000000"/>
                <w:kern w:val="0"/>
                <w:sz w:val="24"/>
                <w:szCs w:val="24"/>
              </w:rPr>
              <w:t>1</w:t>
            </w:r>
          </w:p>
        </w:tc>
        <w:tc>
          <w:tcPr>
            <w:tcW w:w="812" w:type="dxa"/>
            <w:vAlign w:val="center"/>
          </w:tcPr>
          <w:p>
            <w:pPr>
              <w:widowControl/>
              <w:spacing w:line="310" w:lineRule="exact"/>
              <w:jc w:val="center"/>
              <w:rPr>
                <w:rFonts w:ascii="仿宋_GB2312" w:hAnsi="仿宋_GB2312" w:cs="仿宋_GB2312"/>
                <w:color w:val="000000"/>
                <w:kern w:val="0"/>
                <w:sz w:val="24"/>
                <w:szCs w:val="24"/>
              </w:rPr>
            </w:pPr>
            <w:r>
              <w:rPr>
                <w:rFonts w:hint="eastAsia" w:ascii="仿宋_GB2312" w:hAnsi="仿宋_GB2312" w:cs="仿宋_GB2312"/>
                <w:color w:val="000000"/>
                <w:kern w:val="0"/>
                <w:sz w:val="24"/>
                <w:szCs w:val="24"/>
              </w:rPr>
              <w:t>一、市本级全口径预算审计情况</w:t>
            </w:r>
          </w:p>
        </w:tc>
        <w:tc>
          <w:tcPr>
            <w:tcW w:w="886" w:type="dxa"/>
            <w:gridSpan w:val="2"/>
            <w:vAlign w:val="center"/>
          </w:tcPr>
          <w:p>
            <w:pPr>
              <w:widowControl/>
              <w:spacing w:line="310" w:lineRule="exact"/>
              <w:jc w:val="center"/>
              <w:rPr>
                <w:rFonts w:ascii="仿宋_GB2312" w:hAnsi="仿宋_GB2312" w:cs="仿宋_GB2312"/>
                <w:color w:val="000000"/>
                <w:kern w:val="0"/>
                <w:sz w:val="24"/>
                <w:szCs w:val="24"/>
              </w:rPr>
            </w:pPr>
            <w:r>
              <w:rPr>
                <w:rFonts w:hint="eastAsia" w:ascii="仿宋_GB2312" w:hAnsi="仿宋_GB2312" w:cs="仿宋_GB2312"/>
                <w:color w:val="000000"/>
                <w:kern w:val="0"/>
                <w:sz w:val="24"/>
                <w:szCs w:val="24"/>
              </w:rPr>
              <w:t>（一）一般公共预算执行情况</w:t>
            </w:r>
          </w:p>
        </w:tc>
        <w:tc>
          <w:tcPr>
            <w:tcW w:w="880" w:type="dxa"/>
            <w:vAlign w:val="center"/>
          </w:tcPr>
          <w:p>
            <w:pPr>
              <w:widowControl/>
              <w:spacing w:line="310" w:lineRule="exact"/>
              <w:rPr>
                <w:rFonts w:ascii="仿宋_GB2312" w:hAnsi="仿宋_GB2312" w:cs="仿宋_GB2312"/>
                <w:color w:val="000000"/>
                <w:kern w:val="0"/>
                <w:sz w:val="24"/>
                <w:szCs w:val="24"/>
              </w:rPr>
            </w:pPr>
            <w:r>
              <w:rPr>
                <w:rFonts w:hint="eastAsia" w:ascii="仿宋_GB2312" w:hAnsi="仿宋_GB2312" w:cs="仿宋_GB2312"/>
                <w:color w:val="000000"/>
                <w:kern w:val="0"/>
                <w:sz w:val="24"/>
                <w:szCs w:val="24"/>
              </w:rPr>
              <w:t>部分非税收入和结余资金未及时收缴统筹</w:t>
            </w:r>
          </w:p>
        </w:tc>
        <w:tc>
          <w:tcPr>
            <w:tcW w:w="2708" w:type="dxa"/>
            <w:vAlign w:val="center"/>
          </w:tcPr>
          <w:p>
            <w:pPr>
              <w:widowControl/>
              <w:spacing w:line="310" w:lineRule="exact"/>
              <w:rPr>
                <w:rFonts w:ascii="仿宋_GB2312" w:hAnsi="仿宋_GB2312" w:cs="仿宋_GB2312"/>
                <w:color w:val="000000"/>
                <w:kern w:val="0"/>
                <w:sz w:val="24"/>
                <w:szCs w:val="24"/>
              </w:rPr>
            </w:pPr>
            <w:r>
              <w:rPr>
                <w:rFonts w:hint="eastAsia" w:ascii="仿宋_GB2312" w:hAnsi="仿宋_GB2312" w:cs="仿宋_GB2312"/>
                <w:color w:val="000000"/>
                <w:kern w:val="0"/>
                <w:sz w:val="24"/>
                <w:szCs w:val="24"/>
              </w:rPr>
              <w:t>二是部分单位未及时收缴非税收入。7个单位未及时收缴物业租金、交易服务费、检验检测费等，涉及金额9,842.7万元。</w:t>
            </w:r>
          </w:p>
        </w:tc>
        <w:tc>
          <w:tcPr>
            <w:tcW w:w="1723" w:type="dxa"/>
            <w:vAlign w:val="center"/>
          </w:tcPr>
          <w:p>
            <w:pPr>
              <w:widowControl/>
              <w:spacing w:line="310" w:lineRule="exact"/>
              <w:jc w:val="center"/>
              <w:rPr>
                <w:rFonts w:ascii="仿宋_GB2312" w:hAnsi="仿宋_GB2312" w:cs="仿宋_GB2312"/>
                <w:color w:val="000000"/>
                <w:kern w:val="0"/>
                <w:sz w:val="24"/>
                <w:szCs w:val="24"/>
              </w:rPr>
            </w:pPr>
            <w:r>
              <w:rPr>
                <w:rFonts w:hint="eastAsia" w:ascii="仿宋_GB2312" w:hAnsi="仿宋_GB2312" w:cs="仿宋_GB2312"/>
                <w:color w:val="000000"/>
                <w:kern w:val="0"/>
                <w:sz w:val="24"/>
                <w:szCs w:val="24"/>
              </w:rPr>
              <w:t>市委外办，市司法局、财政局、交通运输局、市场监管局</w:t>
            </w:r>
          </w:p>
        </w:tc>
        <w:tc>
          <w:tcPr>
            <w:tcW w:w="1290" w:type="dxa"/>
            <w:vAlign w:val="center"/>
          </w:tcPr>
          <w:p>
            <w:pPr>
              <w:widowControl/>
              <w:spacing w:line="310" w:lineRule="exact"/>
              <w:jc w:val="center"/>
              <w:rPr>
                <w:rFonts w:ascii="仿宋_GB2312" w:hAnsi="仿宋_GB2312" w:cs="仿宋_GB2312"/>
                <w:color w:val="000000"/>
                <w:kern w:val="0"/>
                <w:sz w:val="24"/>
                <w:szCs w:val="24"/>
              </w:rPr>
            </w:pPr>
            <w:r>
              <w:rPr>
                <w:rFonts w:hint="eastAsia" w:ascii="仿宋_GB2312" w:hAnsi="仿宋_GB2312" w:cs="仿宋_GB2312"/>
                <w:color w:val="000000"/>
                <w:kern w:val="0"/>
                <w:sz w:val="24"/>
                <w:szCs w:val="24"/>
              </w:rPr>
              <w:t>市人力资源保障局、住房建设局、麒麟山疗养院</w:t>
            </w:r>
          </w:p>
        </w:tc>
        <w:tc>
          <w:tcPr>
            <w:tcW w:w="2226" w:type="dxa"/>
            <w:vAlign w:val="center"/>
          </w:tcPr>
          <w:p>
            <w:pPr>
              <w:widowControl/>
              <w:spacing w:line="310" w:lineRule="exact"/>
              <w:rPr>
                <w:rFonts w:ascii="仿宋_GB2312" w:hAnsi="仿宋_GB2312" w:cs="仿宋_GB2312"/>
                <w:color w:val="000000"/>
                <w:kern w:val="0"/>
                <w:sz w:val="24"/>
                <w:szCs w:val="24"/>
              </w:rPr>
            </w:pPr>
            <w:r>
              <w:rPr>
                <w:rFonts w:hint="eastAsia" w:ascii="仿宋_GB2312" w:hAnsi="仿宋_GB2312" w:cs="仿宋_GB2312"/>
                <w:color w:val="000000"/>
                <w:kern w:val="0"/>
                <w:sz w:val="24"/>
                <w:szCs w:val="24"/>
              </w:rPr>
              <w:t>市财政局要督促各单位及时上缴结余资金、收缴非税收入。</w:t>
            </w:r>
          </w:p>
        </w:tc>
        <w:tc>
          <w:tcPr>
            <w:tcW w:w="4197" w:type="dxa"/>
            <w:vAlign w:val="center"/>
          </w:tcPr>
          <w:p>
            <w:pPr>
              <w:widowControl/>
              <w:spacing w:line="310" w:lineRule="exact"/>
              <w:rPr>
                <w:rFonts w:ascii="仿宋_GB2312" w:hAnsi="仿宋_GB2312" w:cs="仿宋_GB2312"/>
                <w:color w:val="000000"/>
                <w:kern w:val="0"/>
                <w:sz w:val="24"/>
                <w:szCs w:val="24"/>
              </w:rPr>
            </w:pPr>
            <w:r>
              <w:rPr>
                <w:rFonts w:hint="eastAsia" w:ascii="仿宋_GB2312" w:hAnsi="仿宋_GB2312" w:cs="仿宋_GB2312"/>
                <w:color w:val="000000"/>
                <w:kern w:val="0"/>
                <w:sz w:val="24"/>
                <w:szCs w:val="24"/>
              </w:rPr>
              <w:t>各相关责任单位主要采取以下整改措施：对未及时收缴的物业租金、交易服务费等非税收入9842.70万元，采取发出缴款通知书催收、申请法院强制执行、依规作废等方式整改，涉及资金4035.46万元，剩余款项存在缴款人无法联系、涉及法律诉讼等情况，将分别形成具体方案妥善解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6" w:hRule="atLeast"/>
          <w:jc w:val="center"/>
        </w:trPr>
        <w:tc>
          <w:tcPr>
            <w:tcW w:w="793" w:type="dxa"/>
            <w:vAlign w:val="center"/>
          </w:tcPr>
          <w:p>
            <w:pPr>
              <w:widowControl/>
              <w:spacing w:line="330" w:lineRule="exact"/>
              <w:jc w:val="center"/>
              <w:rPr>
                <w:rFonts w:ascii="仿宋_GB2312" w:hAnsi="仿宋_GB2312" w:cs="仿宋_GB2312"/>
                <w:color w:val="000000"/>
                <w:kern w:val="0"/>
                <w:sz w:val="24"/>
                <w:szCs w:val="24"/>
              </w:rPr>
            </w:pPr>
            <w:r>
              <w:rPr>
                <w:rFonts w:hint="eastAsia" w:ascii="仿宋_GB2312" w:hAnsi="仿宋_GB2312" w:cs="仿宋_GB2312"/>
                <w:color w:val="000000"/>
                <w:kern w:val="0"/>
                <w:sz w:val="24"/>
                <w:szCs w:val="24"/>
              </w:rPr>
              <w:t>2</w:t>
            </w:r>
          </w:p>
        </w:tc>
        <w:tc>
          <w:tcPr>
            <w:tcW w:w="812" w:type="dxa"/>
            <w:vAlign w:val="center"/>
          </w:tcPr>
          <w:p>
            <w:pPr>
              <w:widowControl/>
              <w:spacing w:line="330" w:lineRule="exact"/>
              <w:jc w:val="center"/>
              <w:rPr>
                <w:rFonts w:ascii="仿宋_GB2312" w:hAnsi="仿宋_GB2312" w:cs="仿宋_GB2312"/>
                <w:color w:val="000000"/>
                <w:kern w:val="0"/>
                <w:sz w:val="24"/>
                <w:szCs w:val="24"/>
              </w:rPr>
            </w:pPr>
            <w:r>
              <w:rPr>
                <w:rFonts w:hint="eastAsia" w:ascii="仿宋_GB2312" w:hAnsi="仿宋_GB2312" w:cs="仿宋_GB2312"/>
                <w:color w:val="000000"/>
                <w:kern w:val="0"/>
                <w:sz w:val="24"/>
                <w:szCs w:val="24"/>
              </w:rPr>
              <w:t>一、市本级全口径预算审计情况</w:t>
            </w:r>
          </w:p>
        </w:tc>
        <w:tc>
          <w:tcPr>
            <w:tcW w:w="886" w:type="dxa"/>
            <w:gridSpan w:val="2"/>
            <w:vAlign w:val="center"/>
          </w:tcPr>
          <w:p>
            <w:pPr>
              <w:widowControl/>
              <w:spacing w:line="330" w:lineRule="exact"/>
              <w:rPr>
                <w:rFonts w:ascii="仿宋_GB2312" w:hAnsi="仿宋_GB2312" w:cs="仿宋_GB2312"/>
                <w:color w:val="000000"/>
                <w:kern w:val="0"/>
                <w:sz w:val="24"/>
                <w:szCs w:val="24"/>
              </w:rPr>
            </w:pPr>
            <w:r>
              <w:rPr>
                <w:rFonts w:hint="eastAsia" w:ascii="仿宋_GB2312" w:hAnsi="仿宋_GB2312" w:cs="仿宋_GB2312"/>
                <w:color w:val="000000"/>
                <w:kern w:val="0"/>
                <w:sz w:val="24"/>
                <w:szCs w:val="24"/>
              </w:rPr>
              <w:t>（二）政府性基金预算执行情况</w:t>
            </w:r>
          </w:p>
        </w:tc>
        <w:tc>
          <w:tcPr>
            <w:tcW w:w="880" w:type="dxa"/>
            <w:vAlign w:val="center"/>
          </w:tcPr>
          <w:p>
            <w:pPr>
              <w:widowControl/>
              <w:spacing w:line="330" w:lineRule="exact"/>
              <w:rPr>
                <w:rFonts w:ascii="仿宋_GB2312" w:hAnsi="仿宋_GB2312" w:cs="仿宋_GB2312"/>
                <w:color w:val="000000"/>
                <w:kern w:val="0"/>
                <w:sz w:val="24"/>
                <w:szCs w:val="24"/>
              </w:rPr>
            </w:pPr>
            <w:r>
              <w:rPr>
                <w:rFonts w:hint="eastAsia" w:ascii="仿宋_GB2312" w:hAnsi="仿宋_GB2312" w:cs="仿宋_GB2312"/>
                <w:color w:val="000000"/>
                <w:kern w:val="0"/>
                <w:sz w:val="24"/>
                <w:szCs w:val="24"/>
              </w:rPr>
              <w:t>个别土地出让收支管理不到位</w:t>
            </w:r>
          </w:p>
        </w:tc>
        <w:tc>
          <w:tcPr>
            <w:tcW w:w="2708" w:type="dxa"/>
            <w:vAlign w:val="center"/>
          </w:tcPr>
          <w:p>
            <w:pPr>
              <w:widowControl/>
              <w:spacing w:line="330" w:lineRule="exact"/>
              <w:rPr>
                <w:rFonts w:ascii="仿宋_GB2312" w:hAnsi="仿宋_GB2312" w:cs="仿宋_GB2312"/>
                <w:color w:val="000000"/>
                <w:kern w:val="0"/>
                <w:sz w:val="24"/>
                <w:szCs w:val="24"/>
              </w:rPr>
            </w:pPr>
            <w:r>
              <w:rPr>
                <w:rFonts w:hint="eastAsia" w:ascii="仿宋_GB2312" w:hAnsi="仿宋_GB2312" w:cs="仿宋_GB2312"/>
                <w:color w:val="000000"/>
                <w:kern w:val="0"/>
                <w:sz w:val="24"/>
                <w:szCs w:val="24"/>
              </w:rPr>
              <w:t>一是未及时收缴国有土地出让收入。1个城市更新项目出让合同约定2021年1月前缴清地价款，但截至2021年3月底仍欠缴25.49亿元。</w:t>
            </w:r>
          </w:p>
        </w:tc>
        <w:tc>
          <w:tcPr>
            <w:tcW w:w="1723" w:type="dxa"/>
            <w:vAlign w:val="center"/>
          </w:tcPr>
          <w:p>
            <w:pPr>
              <w:widowControl/>
              <w:spacing w:line="330" w:lineRule="exact"/>
              <w:jc w:val="center"/>
              <w:rPr>
                <w:rFonts w:ascii="仿宋_GB2312" w:hAnsi="仿宋_GB2312" w:cs="仿宋_GB2312"/>
                <w:color w:val="000000"/>
                <w:kern w:val="0"/>
                <w:sz w:val="24"/>
                <w:szCs w:val="24"/>
              </w:rPr>
            </w:pPr>
            <w:r>
              <w:rPr>
                <w:rFonts w:hint="eastAsia" w:ascii="仿宋_GB2312" w:hAnsi="仿宋_GB2312" w:cs="仿宋_GB2312"/>
                <w:color w:val="000000"/>
                <w:kern w:val="0"/>
                <w:sz w:val="24"/>
                <w:szCs w:val="24"/>
              </w:rPr>
              <w:t>无</w:t>
            </w:r>
          </w:p>
        </w:tc>
        <w:tc>
          <w:tcPr>
            <w:tcW w:w="1290" w:type="dxa"/>
            <w:vAlign w:val="center"/>
          </w:tcPr>
          <w:p>
            <w:pPr>
              <w:widowControl/>
              <w:spacing w:line="330" w:lineRule="exact"/>
              <w:jc w:val="center"/>
              <w:rPr>
                <w:rFonts w:ascii="仿宋_GB2312" w:hAnsi="仿宋_GB2312" w:cs="仿宋_GB2312"/>
                <w:color w:val="000000"/>
                <w:kern w:val="0"/>
                <w:sz w:val="24"/>
                <w:szCs w:val="24"/>
              </w:rPr>
            </w:pPr>
            <w:r>
              <w:rPr>
                <w:rFonts w:hint="eastAsia" w:ascii="仿宋_GB2312" w:hAnsi="仿宋_GB2312" w:cs="仿宋_GB2312"/>
                <w:color w:val="000000"/>
                <w:kern w:val="0"/>
                <w:sz w:val="24"/>
                <w:szCs w:val="24"/>
              </w:rPr>
              <w:t>龙华区政府</w:t>
            </w:r>
          </w:p>
        </w:tc>
        <w:tc>
          <w:tcPr>
            <w:tcW w:w="2226" w:type="dxa"/>
            <w:vAlign w:val="center"/>
          </w:tcPr>
          <w:p>
            <w:pPr>
              <w:widowControl/>
              <w:spacing w:line="330" w:lineRule="exact"/>
              <w:rPr>
                <w:rFonts w:ascii="仿宋_GB2312" w:hAnsi="仿宋_GB2312" w:cs="仿宋_GB2312"/>
                <w:color w:val="000000"/>
                <w:kern w:val="0"/>
                <w:sz w:val="24"/>
                <w:szCs w:val="24"/>
              </w:rPr>
            </w:pPr>
            <w:r>
              <w:rPr>
                <w:rFonts w:hint="eastAsia" w:ascii="仿宋_GB2312" w:hAnsi="仿宋_GB2312" w:cs="仿宋_GB2312"/>
                <w:color w:val="000000"/>
                <w:kern w:val="0"/>
                <w:sz w:val="24"/>
                <w:szCs w:val="24"/>
              </w:rPr>
              <w:t>龙华区政府要按规定及出让合同约定条款，确保土地出让收入及时足额缴入国库。</w:t>
            </w:r>
          </w:p>
        </w:tc>
        <w:tc>
          <w:tcPr>
            <w:tcW w:w="4197" w:type="dxa"/>
            <w:vAlign w:val="center"/>
          </w:tcPr>
          <w:p>
            <w:pPr>
              <w:widowControl/>
              <w:spacing w:line="330" w:lineRule="exact"/>
              <w:jc w:val="left"/>
              <w:rPr>
                <w:rFonts w:ascii="仿宋_GB2312" w:hAnsi="仿宋_GB2312" w:cs="仿宋_GB2312"/>
                <w:color w:val="000000"/>
                <w:kern w:val="0"/>
                <w:sz w:val="24"/>
                <w:szCs w:val="24"/>
              </w:rPr>
            </w:pPr>
            <w:r>
              <w:rPr>
                <w:rFonts w:hint="eastAsia" w:ascii="仿宋_GB2312" w:hAnsi="仿宋_GB2312" w:cs="仿宋_GB2312"/>
                <w:color w:val="000000"/>
                <w:kern w:val="0"/>
                <w:sz w:val="24"/>
                <w:szCs w:val="24"/>
              </w:rPr>
              <w:t>龙华区政府已采取约谈、发函等方式催缴地价款，因项目实施主体存在经营困难，目前仍处于催缴阶段。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5" w:hRule="atLeast"/>
          <w:jc w:val="center"/>
        </w:trPr>
        <w:tc>
          <w:tcPr>
            <w:tcW w:w="793" w:type="dxa"/>
            <w:vAlign w:val="center"/>
          </w:tcPr>
          <w:p>
            <w:pPr>
              <w:widowControl/>
              <w:spacing w:line="360" w:lineRule="exact"/>
              <w:jc w:val="center"/>
              <w:rPr>
                <w:rFonts w:ascii="仿宋_GB2312" w:hAnsi="仿宋_GB2312" w:cs="仿宋_GB2312"/>
                <w:color w:val="000000"/>
                <w:kern w:val="0"/>
                <w:sz w:val="24"/>
                <w:szCs w:val="24"/>
              </w:rPr>
            </w:pPr>
            <w:r>
              <w:rPr>
                <w:rFonts w:hint="eastAsia" w:ascii="仿宋_GB2312" w:hAnsi="仿宋_GB2312" w:cs="仿宋_GB2312"/>
                <w:color w:val="000000"/>
                <w:kern w:val="0"/>
                <w:sz w:val="24"/>
                <w:szCs w:val="24"/>
              </w:rPr>
              <w:t>3</w:t>
            </w:r>
          </w:p>
        </w:tc>
        <w:tc>
          <w:tcPr>
            <w:tcW w:w="812" w:type="dxa"/>
            <w:vAlign w:val="center"/>
          </w:tcPr>
          <w:p>
            <w:pPr>
              <w:widowControl/>
              <w:spacing w:line="360" w:lineRule="exact"/>
              <w:jc w:val="center"/>
              <w:rPr>
                <w:rFonts w:ascii="仿宋_GB2312" w:hAnsi="仿宋_GB2312" w:cs="仿宋_GB2312"/>
                <w:color w:val="000000"/>
                <w:kern w:val="0"/>
                <w:sz w:val="24"/>
                <w:szCs w:val="24"/>
              </w:rPr>
            </w:pPr>
            <w:r>
              <w:rPr>
                <w:rFonts w:hint="eastAsia" w:ascii="仿宋_GB2312" w:hAnsi="仿宋_GB2312" w:cs="仿宋_GB2312"/>
                <w:color w:val="000000"/>
                <w:kern w:val="0"/>
                <w:sz w:val="24"/>
                <w:szCs w:val="24"/>
              </w:rPr>
              <w:t>一、市本级全口径预算审计情况</w:t>
            </w:r>
          </w:p>
        </w:tc>
        <w:tc>
          <w:tcPr>
            <w:tcW w:w="886" w:type="dxa"/>
            <w:gridSpan w:val="2"/>
            <w:vAlign w:val="center"/>
          </w:tcPr>
          <w:p>
            <w:pPr>
              <w:widowControl/>
              <w:spacing w:line="360" w:lineRule="exact"/>
              <w:rPr>
                <w:rFonts w:ascii="仿宋_GB2312" w:hAnsi="仿宋_GB2312" w:cs="仿宋_GB2312"/>
                <w:color w:val="000000"/>
                <w:kern w:val="0"/>
                <w:sz w:val="24"/>
                <w:szCs w:val="24"/>
              </w:rPr>
            </w:pPr>
            <w:r>
              <w:rPr>
                <w:rFonts w:hint="eastAsia" w:ascii="仿宋_GB2312" w:hAnsi="仿宋_GB2312" w:cs="仿宋_GB2312"/>
                <w:color w:val="000000"/>
                <w:kern w:val="0"/>
                <w:sz w:val="24"/>
                <w:szCs w:val="24"/>
              </w:rPr>
              <w:t>（二）政府性基金预算执行情况</w:t>
            </w:r>
          </w:p>
        </w:tc>
        <w:tc>
          <w:tcPr>
            <w:tcW w:w="880" w:type="dxa"/>
            <w:vAlign w:val="center"/>
          </w:tcPr>
          <w:p>
            <w:pPr>
              <w:widowControl/>
              <w:spacing w:line="360" w:lineRule="exact"/>
              <w:rPr>
                <w:rFonts w:ascii="仿宋_GB2312" w:hAnsi="仿宋_GB2312" w:cs="仿宋_GB2312"/>
                <w:color w:val="000000"/>
                <w:kern w:val="0"/>
                <w:sz w:val="24"/>
                <w:szCs w:val="24"/>
              </w:rPr>
            </w:pPr>
            <w:r>
              <w:rPr>
                <w:rFonts w:hint="eastAsia" w:ascii="仿宋_GB2312" w:hAnsi="仿宋_GB2312" w:cs="仿宋_GB2312"/>
                <w:color w:val="000000"/>
                <w:kern w:val="0"/>
                <w:sz w:val="24"/>
                <w:szCs w:val="24"/>
              </w:rPr>
              <w:t>个别土地出让收支管理不到位</w:t>
            </w:r>
          </w:p>
        </w:tc>
        <w:tc>
          <w:tcPr>
            <w:tcW w:w="2708" w:type="dxa"/>
            <w:vAlign w:val="center"/>
          </w:tcPr>
          <w:p>
            <w:pPr>
              <w:widowControl/>
              <w:spacing w:line="360" w:lineRule="exact"/>
              <w:rPr>
                <w:rFonts w:ascii="仿宋_GB2312" w:hAnsi="仿宋_GB2312" w:cs="仿宋_GB2312"/>
                <w:color w:val="000000"/>
                <w:kern w:val="0"/>
                <w:sz w:val="24"/>
                <w:szCs w:val="24"/>
              </w:rPr>
            </w:pPr>
            <w:r>
              <w:rPr>
                <w:rFonts w:hint="eastAsia" w:ascii="仿宋_GB2312" w:hAnsi="仿宋_GB2312" w:cs="仿宋_GB2312"/>
                <w:color w:val="000000"/>
                <w:kern w:val="0"/>
                <w:sz w:val="24"/>
                <w:szCs w:val="24"/>
              </w:rPr>
              <w:t>二是个别支出项目进度滞后。规划部门有29个国土基金专项经费支出项目到期未完成，涉及金额4,438.27万元；有23个国土基金结转项目2020年未发生支出，涉及金额1,369.53万元。</w:t>
            </w:r>
          </w:p>
        </w:tc>
        <w:tc>
          <w:tcPr>
            <w:tcW w:w="1723" w:type="dxa"/>
            <w:vAlign w:val="center"/>
          </w:tcPr>
          <w:p>
            <w:pPr>
              <w:widowControl/>
              <w:spacing w:line="360" w:lineRule="exact"/>
              <w:jc w:val="center"/>
              <w:rPr>
                <w:rFonts w:ascii="仿宋_GB2312" w:hAnsi="仿宋_GB2312" w:cs="仿宋_GB2312"/>
                <w:color w:val="000000"/>
                <w:kern w:val="0"/>
                <w:sz w:val="24"/>
                <w:szCs w:val="24"/>
              </w:rPr>
            </w:pPr>
            <w:r>
              <w:rPr>
                <w:rFonts w:hint="eastAsia" w:ascii="仿宋_GB2312" w:hAnsi="仿宋_GB2312" w:cs="仿宋_GB2312"/>
                <w:color w:val="000000"/>
                <w:kern w:val="0"/>
                <w:sz w:val="24"/>
                <w:szCs w:val="24"/>
              </w:rPr>
              <w:t>无</w:t>
            </w:r>
          </w:p>
        </w:tc>
        <w:tc>
          <w:tcPr>
            <w:tcW w:w="1290" w:type="dxa"/>
            <w:vAlign w:val="center"/>
          </w:tcPr>
          <w:p>
            <w:pPr>
              <w:widowControl/>
              <w:spacing w:line="360" w:lineRule="exact"/>
              <w:jc w:val="center"/>
              <w:rPr>
                <w:rFonts w:ascii="仿宋_GB2312" w:hAnsi="仿宋_GB2312" w:cs="仿宋_GB2312"/>
                <w:color w:val="000000"/>
                <w:kern w:val="0"/>
                <w:sz w:val="24"/>
                <w:szCs w:val="24"/>
              </w:rPr>
            </w:pPr>
            <w:r>
              <w:rPr>
                <w:rFonts w:hint="eastAsia" w:ascii="仿宋_GB2312" w:hAnsi="仿宋_GB2312" w:cs="仿宋_GB2312"/>
                <w:color w:val="000000"/>
                <w:kern w:val="0"/>
                <w:sz w:val="24"/>
                <w:szCs w:val="24"/>
              </w:rPr>
              <w:t>市规划和自然资源局</w:t>
            </w:r>
          </w:p>
        </w:tc>
        <w:tc>
          <w:tcPr>
            <w:tcW w:w="2226" w:type="dxa"/>
            <w:vAlign w:val="center"/>
          </w:tcPr>
          <w:p>
            <w:pPr>
              <w:widowControl/>
              <w:spacing w:line="360" w:lineRule="exact"/>
              <w:rPr>
                <w:rFonts w:ascii="仿宋_GB2312" w:hAnsi="仿宋_GB2312" w:cs="仿宋_GB2312"/>
                <w:color w:val="000000"/>
                <w:kern w:val="0"/>
                <w:sz w:val="24"/>
                <w:szCs w:val="24"/>
              </w:rPr>
            </w:pPr>
            <w:r>
              <w:rPr>
                <w:rFonts w:hint="eastAsia" w:ascii="仿宋_GB2312" w:hAnsi="仿宋_GB2312" w:cs="仿宋_GB2312"/>
                <w:color w:val="000000"/>
                <w:kern w:val="0"/>
                <w:sz w:val="24"/>
                <w:szCs w:val="24"/>
              </w:rPr>
              <w:t>市规划和自然资源局要加强国土基金专项经费管理，充分论证项目立项的必要性、可行性，采取积极措施保障支出进度。</w:t>
            </w:r>
          </w:p>
        </w:tc>
        <w:tc>
          <w:tcPr>
            <w:tcW w:w="4197" w:type="dxa"/>
            <w:vAlign w:val="center"/>
          </w:tcPr>
          <w:p>
            <w:pPr>
              <w:widowControl/>
              <w:spacing w:line="360" w:lineRule="exact"/>
              <w:jc w:val="left"/>
              <w:rPr>
                <w:rFonts w:ascii="仿宋_GB2312" w:hAnsi="仿宋_GB2312" w:cs="仿宋_GB2312"/>
                <w:color w:val="000000"/>
                <w:kern w:val="0"/>
                <w:sz w:val="24"/>
                <w:szCs w:val="24"/>
              </w:rPr>
            </w:pPr>
            <w:r>
              <w:rPr>
                <w:rFonts w:hint="eastAsia" w:ascii="仿宋_GB2312" w:hAnsi="仿宋_GB2312" w:cs="仿宋_GB2312"/>
                <w:color w:val="000000"/>
                <w:kern w:val="0"/>
                <w:sz w:val="24"/>
                <w:szCs w:val="24"/>
              </w:rPr>
              <w:t>市规划和自然资源局逐项梳理涉及项目，对不再开展的项目，按程序取消或签订终止协议；对需要开展的项目，督促实施主体加快项目支出进度；对存在资金缺口的项目，按权限调剂或申报资金。截至2021年11月底，审计指出到期未完成支出的29个项目，完成支出17个；2020年未发生支出的23个结转项目，完成支出11个。剩余项目待资金到位或达到支付节点后加快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3" w:hRule="atLeast"/>
          <w:jc w:val="center"/>
        </w:trPr>
        <w:tc>
          <w:tcPr>
            <w:tcW w:w="793" w:type="dxa"/>
            <w:vAlign w:val="center"/>
          </w:tcPr>
          <w:p>
            <w:pPr>
              <w:widowControl/>
              <w:spacing w:line="360" w:lineRule="exact"/>
              <w:jc w:val="center"/>
              <w:rPr>
                <w:rFonts w:ascii="仿宋_GB2312" w:hAnsi="仿宋_GB2312" w:cs="仿宋_GB2312"/>
                <w:color w:val="000000"/>
                <w:kern w:val="0"/>
                <w:sz w:val="24"/>
                <w:szCs w:val="24"/>
              </w:rPr>
            </w:pPr>
            <w:r>
              <w:rPr>
                <w:rFonts w:hint="eastAsia" w:ascii="仿宋_GB2312" w:hAnsi="仿宋_GB2312" w:cs="仿宋_GB2312"/>
                <w:color w:val="000000"/>
                <w:kern w:val="0"/>
                <w:sz w:val="24"/>
                <w:szCs w:val="24"/>
              </w:rPr>
              <w:t>4</w:t>
            </w:r>
          </w:p>
        </w:tc>
        <w:tc>
          <w:tcPr>
            <w:tcW w:w="812" w:type="dxa"/>
            <w:vAlign w:val="center"/>
          </w:tcPr>
          <w:p>
            <w:pPr>
              <w:widowControl/>
              <w:spacing w:line="360" w:lineRule="exact"/>
              <w:jc w:val="center"/>
              <w:rPr>
                <w:rFonts w:ascii="仿宋_GB2312" w:hAnsi="仿宋_GB2312" w:cs="仿宋_GB2312"/>
                <w:color w:val="000000"/>
                <w:kern w:val="0"/>
                <w:sz w:val="24"/>
                <w:szCs w:val="24"/>
              </w:rPr>
            </w:pPr>
            <w:r>
              <w:rPr>
                <w:rFonts w:hint="eastAsia" w:ascii="仿宋_GB2312" w:hAnsi="仿宋_GB2312" w:cs="仿宋_GB2312"/>
                <w:color w:val="000000"/>
                <w:kern w:val="0"/>
                <w:sz w:val="24"/>
                <w:szCs w:val="24"/>
              </w:rPr>
              <w:t>二、部门预算执行审计情况</w:t>
            </w:r>
          </w:p>
        </w:tc>
        <w:tc>
          <w:tcPr>
            <w:tcW w:w="886" w:type="dxa"/>
            <w:gridSpan w:val="2"/>
            <w:vAlign w:val="center"/>
          </w:tcPr>
          <w:p>
            <w:pPr>
              <w:widowControl/>
              <w:spacing w:line="360" w:lineRule="exact"/>
              <w:jc w:val="center"/>
              <w:rPr>
                <w:rFonts w:ascii="仿宋_GB2312" w:hAnsi="仿宋_GB2312" w:cs="仿宋_GB2312"/>
                <w:color w:val="000000"/>
                <w:kern w:val="0"/>
                <w:sz w:val="24"/>
                <w:szCs w:val="24"/>
              </w:rPr>
            </w:pPr>
            <w:r>
              <w:rPr>
                <w:rFonts w:hint="eastAsia" w:ascii="仿宋_GB2312" w:hAnsi="仿宋_GB2312" w:cs="仿宋_GB2312"/>
                <w:color w:val="000000"/>
                <w:kern w:val="0"/>
                <w:sz w:val="24"/>
                <w:szCs w:val="24"/>
              </w:rPr>
              <w:t>（二）部分单位资产管理仍有短板</w:t>
            </w:r>
          </w:p>
        </w:tc>
        <w:tc>
          <w:tcPr>
            <w:tcW w:w="880" w:type="dxa"/>
            <w:vAlign w:val="center"/>
          </w:tcPr>
          <w:p>
            <w:pPr>
              <w:widowControl/>
              <w:spacing w:line="360" w:lineRule="exact"/>
              <w:rPr>
                <w:rFonts w:ascii="仿宋_GB2312" w:hAnsi="仿宋_GB2312" w:cs="仿宋_GB2312"/>
                <w:color w:val="000000"/>
                <w:kern w:val="0"/>
                <w:sz w:val="24"/>
                <w:szCs w:val="24"/>
              </w:rPr>
            </w:pPr>
            <w:r>
              <w:rPr>
                <w:rFonts w:hint="eastAsia" w:ascii="仿宋_GB2312" w:hAnsi="仿宋_GB2312" w:cs="仿宋_GB2312"/>
                <w:color w:val="000000"/>
                <w:kern w:val="0"/>
                <w:sz w:val="24"/>
                <w:szCs w:val="24"/>
              </w:rPr>
              <w:t>公开招租程序不规范</w:t>
            </w:r>
          </w:p>
        </w:tc>
        <w:tc>
          <w:tcPr>
            <w:tcW w:w="2708" w:type="dxa"/>
            <w:vAlign w:val="center"/>
          </w:tcPr>
          <w:p>
            <w:pPr>
              <w:widowControl/>
              <w:spacing w:line="360" w:lineRule="exact"/>
              <w:rPr>
                <w:rFonts w:ascii="仿宋_GB2312" w:hAnsi="仿宋_GB2312" w:cs="仿宋_GB2312"/>
                <w:color w:val="000000"/>
                <w:kern w:val="0"/>
                <w:sz w:val="24"/>
                <w:szCs w:val="24"/>
              </w:rPr>
            </w:pPr>
            <w:r>
              <w:rPr>
                <w:rFonts w:hint="eastAsia" w:ascii="仿宋_GB2312" w:hAnsi="仿宋_GB2312" w:cs="仿宋_GB2312"/>
                <w:color w:val="000000"/>
                <w:kern w:val="0"/>
                <w:sz w:val="24"/>
                <w:szCs w:val="24"/>
              </w:rPr>
              <w:t>3个单位未通过公开招租程序，或未考察直接确定租赁方，也未将出租事项报财政部门审批，涉及11处物业，账面原值均超过30万元。</w:t>
            </w:r>
          </w:p>
        </w:tc>
        <w:tc>
          <w:tcPr>
            <w:tcW w:w="1723" w:type="dxa"/>
            <w:vAlign w:val="center"/>
          </w:tcPr>
          <w:p>
            <w:pPr>
              <w:widowControl/>
              <w:spacing w:line="360" w:lineRule="exact"/>
              <w:jc w:val="center"/>
              <w:rPr>
                <w:rFonts w:ascii="仿宋_GB2312" w:hAnsi="仿宋_GB2312" w:cs="仿宋_GB2312"/>
                <w:color w:val="000000"/>
                <w:kern w:val="0"/>
                <w:sz w:val="24"/>
                <w:szCs w:val="24"/>
              </w:rPr>
            </w:pPr>
            <w:r>
              <w:rPr>
                <w:rFonts w:hint="eastAsia" w:ascii="仿宋_GB2312" w:hAnsi="仿宋_GB2312" w:cs="仿宋_GB2312"/>
                <w:color w:val="000000"/>
                <w:kern w:val="0"/>
                <w:sz w:val="24"/>
                <w:szCs w:val="24"/>
              </w:rPr>
              <w:t>市委政法委、市人力资源保障局</w:t>
            </w:r>
          </w:p>
        </w:tc>
        <w:tc>
          <w:tcPr>
            <w:tcW w:w="1290" w:type="dxa"/>
            <w:vAlign w:val="center"/>
          </w:tcPr>
          <w:p>
            <w:pPr>
              <w:widowControl/>
              <w:spacing w:line="360" w:lineRule="exact"/>
              <w:jc w:val="center"/>
              <w:rPr>
                <w:rFonts w:ascii="仿宋_GB2312" w:hAnsi="仿宋_GB2312" w:cs="仿宋_GB2312"/>
                <w:color w:val="000000"/>
                <w:kern w:val="0"/>
                <w:sz w:val="24"/>
                <w:szCs w:val="24"/>
              </w:rPr>
            </w:pPr>
            <w:r>
              <w:rPr>
                <w:rFonts w:hint="eastAsia" w:ascii="仿宋_GB2312" w:hAnsi="仿宋_GB2312" w:cs="仿宋_GB2312"/>
                <w:color w:val="000000"/>
                <w:kern w:val="0"/>
                <w:sz w:val="24"/>
                <w:szCs w:val="24"/>
              </w:rPr>
              <w:t>市司法局</w:t>
            </w:r>
          </w:p>
        </w:tc>
        <w:tc>
          <w:tcPr>
            <w:tcW w:w="2226" w:type="dxa"/>
            <w:vAlign w:val="center"/>
          </w:tcPr>
          <w:p>
            <w:pPr>
              <w:widowControl/>
              <w:spacing w:line="360" w:lineRule="exact"/>
              <w:rPr>
                <w:rFonts w:ascii="仿宋_GB2312" w:hAnsi="仿宋_GB2312" w:cs="仿宋_GB2312"/>
                <w:color w:val="000000"/>
                <w:kern w:val="0"/>
                <w:sz w:val="24"/>
                <w:szCs w:val="24"/>
              </w:rPr>
            </w:pPr>
            <w:r>
              <w:rPr>
                <w:rFonts w:hint="eastAsia" w:ascii="仿宋_GB2312" w:hAnsi="仿宋_GB2312" w:cs="仿宋_GB2312"/>
                <w:color w:val="000000"/>
                <w:kern w:val="0"/>
                <w:sz w:val="24"/>
                <w:szCs w:val="24"/>
              </w:rPr>
              <w:t>市委政法委和市人力资源保障局、司法局要严格履行公开招租程序，按要求报财政部门审批出租事项。</w:t>
            </w:r>
          </w:p>
        </w:tc>
        <w:tc>
          <w:tcPr>
            <w:tcW w:w="4197" w:type="dxa"/>
            <w:vAlign w:val="center"/>
          </w:tcPr>
          <w:p>
            <w:pPr>
              <w:widowControl/>
              <w:spacing w:line="360" w:lineRule="exact"/>
              <w:jc w:val="left"/>
              <w:rPr>
                <w:rFonts w:ascii="仿宋_GB2312" w:hAnsi="仿宋_GB2312" w:cs="仿宋_GB2312"/>
                <w:color w:val="000000"/>
                <w:kern w:val="0"/>
                <w:sz w:val="24"/>
                <w:szCs w:val="24"/>
              </w:rPr>
            </w:pPr>
            <w:r>
              <w:rPr>
                <w:rFonts w:hint="eastAsia" w:ascii="仿宋_GB2312" w:hAnsi="仿宋_GB2312" w:cs="仿宋_GB2312"/>
                <w:color w:val="000000"/>
                <w:kern w:val="0"/>
                <w:sz w:val="24"/>
                <w:szCs w:val="24"/>
              </w:rPr>
              <w:t>各相关责任单位主要采取以下整改措施：对现有物业情况进行盘查，规范物业招租程序。审计指出的11处物业，5处已收回并移交相关主管部门；3处已委托相关单位公开招租；2处已报市财政局备案；1处正在办理公开招租手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0" w:hRule="atLeast"/>
          <w:jc w:val="center"/>
        </w:trPr>
        <w:tc>
          <w:tcPr>
            <w:tcW w:w="793" w:type="dxa"/>
            <w:vAlign w:val="center"/>
          </w:tcPr>
          <w:p>
            <w:pPr>
              <w:widowControl/>
              <w:spacing w:line="360" w:lineRule="exact"/>
              <w:jc w:val="center"/>
              <w:rPr>
                <w:rFonts w:ascii="仿宋_GB2312" w:hAnsi="仿宋_GB2312" w:cs="仿宋_GB2312"/>
                <w:color w:val="000000"/>
                <w:kern w:val="0"/>
                <w:sz w:val="24"/>
                <w:szCs w:val="24"/>
              </w:rPr>
            </w:pPr>
            <w:r>
              <w:rPr>
                <w:rFonts w:hint="eastAsia" w:ascii="仿宋_GB2312" w:hAnsi="仿宋_GB2312" w:cs="仿宋_GB2312"/>
                <w:color w:val="000000"/>
                <w:kern w:val="0"/>
                <w:sz w:val="24"/>
                <w:szCs w:val="24"/>
              </w:rPr>
              <w:t>5</w:t>
            </w:r>
          </w:p>
        </w:tc>
        <w:tc>
          <w:tcPr>
            <w:tcW w:w="812" w:type="dxa"/>
            <w:vAlign w:val="center"/>
          </w:tcPr>
          <w:p>
            <w:pPr>
              <w:widowControl/>
              <w:spacing w:line="360" w:lineRule="exact"/>
              <w:jc w:val="center"/>
              <w:rPr>
                <w:rFonts w:ascii="仿宋_GB2312" w:hAnsi="仿宋_GB2312" w:cs="仿宋_GB2312"/>
                <w:color w:val="000000"/>
                <w:kern w:val="0"/>
                <w:sz w:val="24"/>
                <w:szCs w:val="24"/>
              </w:rPr>
            </w:pPr>
            <w:r>
              <w:rPr>
                <w:rFonts w:hint="eastAsia" w:ascii="仿宋_GB2312" w:hAnsi="仿宋_GB2312" w:cs="仿宋_GB2312"/>
                <w:color w:val="000000"/>
                <w:kern w:val="0"/>
                <w:sz w:val="24"/>
                <w:szCs w:val="24"/>
              </w:rPr>
              <w:t>四、重大政策措施落实跟踪审计情况</w:t>
            </w:r>
          </w:p>
        </w:tc>
        <w:tc>
          <w:tcPr>
            <w:tcW w:w="886" w:type="dxa"/>
            <w:gridSpan w:val="2"/>
            <w:vAlign w:val="center"/>
          </w:tcPr>
          <w:p>
            <w:pPr>
              <w:widowControl/>
              <w:spacing w:line="360" w:lineRule="exact"/>
              <w:jc w:val="center"/>
              <w:rPr>
                <w:rFonts w:ascii="仿宋_GB2312" w:hAnsi="仿宋_GB2312" w:cs="仿宋_GB2312"/>
                <w:color w:val="000000"/>
                <w:kern w:val="0"/>
                <w:sz w:val="24"/>
                <w:szCs w:val="24"/>
              </w:rPr>
            </w:pPr>
            <w:r>
              <w:rPr>
                <w:rFonts w:hint="eastAsia" w:ascii="仿宋_GB2312" w:hAnsi="仿宋_GB2312" w:cs="仿宋_GB2312"/>
                <w:color w:val="000000"/>
                <w:kern w:val="0"/>
                <w:sz w:val="24"/>
                <w:szCs w:val="24"/>
              </w:rPr>
              <w:t>（一）推进国际一流营商环境改革创新实验区建设政策落实方面</w:t>
            </w:r>
          </w:p>
        </w:tc>
        <w:tc>
          <w:tcPr>
            <w:tcW w:w="880" w:type="dxa"/>
            <w:vAlign w:val="center"/>
          </w:tcPr>
          <w:p>
            <w:pPr>
              <w:widowControl/>
              <w:spacing w:line="360" w:lineRule="exact"/>
              <w:rPr>
                <w:rFonts w:ascii="仿宋_GB2312" w:hAnsi="仿宋_GB2312" w:cs="仿宋_GB2312"/>
                <w:color w:val="000000"/>
                <w:kern w:val="0"/>
                <w:sz w:val="24"/>
                <w:szCs w:val="24"/>
              </w:rPr>
            </w:pPr>
            <w:r>
              <w:rPr>
                <w:rFonts w:hint="eastAsia" w:ascii="仿宋_GB2312" w:hAnsi="仿宋_GB2312" w:cs="仿宋_GB2312"/>
                <w:color w:val="000000"/>
                <w:kern w:val="0"/>
                <w:sz w:val="24"/>
                <w:szCs w:val="24"/>
              </w:rPr>
              <w:t>部分政务服务系统便民化程度不高</w:t>
            </w:r>
          </w:p>
        </w:tc>
        <w:tc>
          <w:tcPr>
            <w:tcW w:w="2708" w:type="dxa"/>
            <w:vAlign w:val="center"/>
          </w:tcPr>
          <w:p>
            <w:pPr>
              <w:widowControl/>
              <w:spacing w:line="360" w:lineRule="exact"/>
              <w:rPr>
                <w:rFonts w:ascii="仿宋_GB2312" w:hAnsi="仿宋_GB2312" w:cs="仿宋_GB2312"/>
                <w:color w:val="000000"/>
                <w:kern w:val="0"/>
                <w:sz w:val="24"/>
                <w:szCs w:val="24"/>
              </w:rPr>
            </w:pPr>
            <w:r>
              <w:rPr>
                <w:rFonts w:hint="eastAsia" w:ascii="仿宋_GB2312" w:hAnsi="仿宋_GB2312" w:cs="仿宋_GB2312"/>
                <w:color w:val="000000"/>
                <w:kern w:val="0"/>
                <w:sz w:val="24"/>
                <w:szCs w:val="24"/>
              </w:rPr>
              <w:t>商事登记系统的企业注册经营范围表述与国家规范性表述存在较大差异，市监部门也未出台填报指引和数字证书操作指引。住建部门未明确复合型工程建设项目的申报流程，导致在投资项目在线审批监管平台，无法协同办理多工程类别的事项。</w:t>
            </w:r>
          </w:p>
        </w:tc>
        <w:tc>
          <w:tcPr>
            <w:tcW w:w="1723" w:type="dxa"/>
            <w:vAlign w:val="center"/>
          </w:tcPr>
          <w:p>
            <w:pPr>
              <w:widowControl/>
              <w:spacing w:line="360" w:lineRule="exact"/>
              <w:jc w:val="center"/>
              <w:rPr>
                <w:rFonts w:ascii="仿宋_GB2312" w:hAnsi="仿宋_GB2312" w:cs="仿宋_GB2312"/>
                <w:color w:val="000000"/>
                <w:kern w:val="0"/>
                <w:sz w:val="24"/>
                <w:szCs w:val="24"/>
              </w:rPr>
            </w:pPr>
            <w:r>
              <w:rPr>
                <w:rFonts w:hint="eastAsia" w:ascii="仿宋_GB2312" w:hAnsi="仿宋_GB2312" w:cs="仿宋_GB2312"/>
                <w:color w:val="000000"/>
                <w:kern w:val="0"/>
                <w:sz w:val="24"/>
                <w:szCs w:val="24"/>
              </w:rPr>
              <w:t>市市场监管局</w:t>
            </w:r>
          </w:p>
        </w:tc>
        <w:tc>
          <w:tcPr>
            <w:tcW w:w="1290" w:type="dxa"/>
            <w:vAlign w:val="center"/>
          </w:tcPr>
          <w:p>
            <w:pPr>
              <w:widowControl/>
              <w:spacing w:line="360" w:lineRule="exact"/>
              <w:jc w:val="center"/>
              <w:rPr>
                <w:rFonts w:ascii="仿宋_GB2312" w:hAnsi="仿宋_GB2312" w:cs="仿宋_GB2312"/>
                <w:color w:val="000000"/>
                <w:kern w:val="0"/>
                <w:sz w:val="24"/>
                <w:szCs w:val="24"/>
              </w:rPr>
            </w:pPr>
            <w:r>
              <w:rPr>
                <w:rFonts w:hint="eastAsia" w:ascii="仿宋_GB2312" w:hAnsi="仿宋_GB2312" w:cs="仿宋_GB2312"/>
                <w:color w:val="000000"/>
                <w:kern w:val="0"/>
                <w:sz w:val="24"/>
                <w:szCs w:val="24"/>
              </w:rPr>
              <w:t>市住房建设局</w:t>
            </w:r>
          </w:p>
        </w:tc>
        <w:tc>
          <w:tcPr>
            <w:tcW w:w="2226" w:type="dxa"/>
            <w:vAlign w:val="center"/>
          </w:tcPr>
          <w:p>
            <w:pPr>
              <w:widowControl/>
              <w:spacing w:line="360" w:lineRule="exact"/>
              <w:rPr>
                <w:rFonts w:ascii="仿宋_GB2312" w:hAnsi="仿宋_GB2312" w:cs="仿宋_GB2312"/>
                <w:color w:val="000000"/>
                <w:kern w:val="0"/>
                <w:sz w:val="24"/>
                <w:szCs w:val="24"/>
              </w:rPr>
            </w:pPr>
            <w:r>
              <w:rPr>
                <w:rFonts w:hint="eastAsia" w:ascii="仿宋_GB2312" w:hAnsi="仿宋_GB2312" w:cs="仿宋_GB2312"/>
                <w:color w:val="000000"/>
                <w:kern w:val="0"/>
                <w:sz w:val="24"/>
                <w:szCs w:val="24"/>
              </w:rPr>
              <w:t>市市场监管局要加强完善商事登记系统填报指引。市住房建设局要商请市发展改革委、政务服务数据管理局等有关部门研究提出提高建设单位报建报批效率的措施。</w:t>
            </w:r>
          </w:p>
        </w:tc>
        <w:tc>
          <w:tcPr>
            <w:tcW w:w="4197" w:type="dxa"/>
            <w:vAlign w:val="center"/>
          </w:tcPr>
          <w:p>
            <w:pPr>
              <w:widowControl/>
              <w:spacing w:line="360" w:lineRule="exact"/>
              <w:jc w:val="left"/>
              <w:rPr>
                <w:rFonts w:ascii="仿宋_GB2312" w:hAnsi="仿宋_GB2312" w:cs="仿宋_GB2312"/>
                <w:color w:val="000000"/>
                <w:kern w:val="0"/>
                <w:sz w:val="24"/>
                <w:szCs w:val="24"/>
              </w:rPr>
            </w:pPr>
            <w:r>
              <w:rPr>
                <w:rFonts w:hint="eastAsia" w:ascii="仿宋_GB2312" w:hAnsi="仿宋_GB2312" w:cs="仿宋_GB2312"/>
                <w:color w:val="000000"/>
                <w:kern w:val="0"/>
                <w:sz w:val="24"/>
                <w:szCs w:val="24"/>
              </w:rPr>
              <w:t>各相关责任单位主要采取以下整改措施：一是规范经营范围登记。市市场监管局已于2021年5月21日正式使用市场监管总局统一制定的经营范围规范表述目录。二是公开系统操作指引。市市场监管局已在相关网站公示经营范围填报指引和数字证书操作指引。三是研究提高项目报建报批效率。市住房建设局已会同相关部门制定相关整改评估方案，通过调整11类工程建设项目审批事项的逻辑关系，实现其在投资项目在线审批监管平台的交叉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0" w:hRule="atLeast"/>
          <w:jc w:val="center"/>
        </w:trPr>
        <w:tc>
          <w:tcPr>
            <w:tcW w:w="793" w:type="dxa"/>
            <w:vAlign w:val="center"/>
          </w:tcPr>
          <w:p>
            <w:pPr>
              <w:widowControl/>
              <w:spacing w:line="360" w:lineRule="exact"/>
              <w:jc w:val="center"/>
              <w:rPr>
                <w:rFonts w:ascii="仿宋_GB2312" w:hAnsi="仿宋_GB2312" w:cs="仿宋_GB2312"/>
                <w:color w:val="000000"/>
                <w:kern w:val="0"/>
                <w:sz w:val="24"/>
                <w:szCs w:val="24"/>
              </w:rPr>
            </w:pPr>
            <w:r>
              <w:rPr>
                <w:rFonts w:hint="eastAsia" w:ascii="仿宋_GB2312" w:hAnsi="仿宋_GB2312" w:cs="仿宋_GB2312"/>
                <w:color w:val="000000"/>
                <w:kern w:val="0"/>
                <w:sz w:val="24"/>
                <w:szCs w:val="24"/>
              </w:rPr>
              <w:t>6</w:t>
            </w:r>
          </w:p>
        </w:tc>
        <w:tc>
          <w:tcPr>
            <w:tcW w:w="812" w:type="dxa"/>
            <w:vAlign w:val="center"/>
          </w:tcPr>
          <w:p>
            <w:pPr>
              <w:widowControl/>
              <w:spacing w:line="360" w:lineRule="exact"/>
              <w:jc w:val="center"/>
              <w:rPr>
                <w:rFonts w:ascii="仿宋_GB2312" w:hAnsi="仿宋_GB2312" w:cs="仿宋_GB2312"/>
                <w:color w:val="000000"/>
                <w:kern w:val="0"/>
                <w:sz w:val="24"/>
                <w:szCs w:val="24"/>
              </w:rPr>
            </w:pPr>
            <w:r>
              <w:rPr>
                <w:rFonts w:hint="eastAsia" w:ascii="仿宋_GB2312" w:hAnsi="仿宋_GB2312" w:cs="仿宋_GB2312"/>
                <w:color w:val="000000"/>
                <w:kern w:val="0"/>
                <w:sz w:val="24"/>
                <w:szCs w:val="24"/>
              </w:rPr>
              <w:t>五、重大专项审计情况</w:t>
            </w:r>
          </w:p>
        </w:tc>
        <w:tc>
          <w:tcPr>
            <w:tcW w:w="886" w:type="dxa"/>
            <w:gridSpan w:val="2"/>
            <w:vAlign w:val="center"/>
          </w:tcPr>
          <w:p>
            <w:pPr>
              <w:widowControl/>
              <w:spacing w:line="360" w:lineRule="exact"/>
              <w:jc w:val="center"/>
              <w:rPr>
                <w:rFonts w:ascii="仿宋_GB2312" w:hAnsi="仿宋_GB2312" w:cs="仿宋_GB2312"/>
                <w:color w:val="000000"/>
                <w:kern w:val="0"/>
                <w:sz w:val="24"/>
                <w:szCs w:val="24"/>
              </w:rPr>
            </w:pPr>
            <w:r>
              <w:rPr>
                <w:rFonts w:hint="eastAsia" w:ascii="仿宋_GB2312" w:hAnsi="仿宋_GB2312" w:cs="仿宋_GB2312"/>
                <w:color w:val="000000"/>
                <w:kern w:val="0"/>
                <w:sz w:val="24"/>
                <w:szCs w:val="24"/>
              </w:rPr>
              <w:t>（一）三大攻坚战推进落实情况</w:t>
            </w:r>
          </w:p>
        </w:tc>
        <w:tc>
          <w:tcPr>
            <w:tcW w:w="880" w:type="dxa"/>
            <w:vAlign w:val="center"/>
          </w:tcPr>
          <w:p>
            <w:pPr>
              <w:widowControl/>
              <w:spacing w:line="360" w:lineRule="exact"/>
              <w:jc w:val="center"/>
              <w:rPr>
                <w:rFonts w:ascii="仿宋_GB2312" w:hAnsi="仿宋_GB2312" w:cs="仿宋_GB2312"/>
                <w:color w:val="000000"/>
                <w:kern w:val="0"/>
                <w:sz w:val="24"/>
                <w:szCs w:val="24"/>
              </w:rPr>
            </w:pPr>
            <w:r>
              <w:rPr>
                <w:rFonts w:hint="eastAsia" w:ascii="仿宋_GB2312" w:hAnsi="仿宋_GB2312" w:cs="仿宋_GB2312"/>
                <w:color w:val="000000"/>
                <w:kern w:val="0"/>
                <w:sz w:val="24"/>
                <w:szCs w:val="24"/>
              </w:rPr>
              <w:t>打好防范化解重大风险攻坚战方面</w:t>
            </w:r>
          </w:p>
        </w:tc>
        <w:tc>
          <w:tcPr>
            <w:tcW w:w="2708" w:type="dxa"/>
            <w:vAlign w:val="center"/>
          </w:tcPr>
          <w:p>
            <w:pPr>
              <w:widowControl/>
              <w:spacing w:line="360" w:lineRule="exact"/>
              <w:rPr>
                <w:rFonts w:ascii="仿宋_GB2312" w:hAnsi="仿宋_GB2312" w:cs="仿宋_GB2312"/>
                <w:kern w:val="0"/>
                <w:sz w:val="24"/>
                <w:szCs w:val="24"/>
              </w:rPr>
            </w:pPr>
            <w:r>
              <w:rPr>
                <w:rFonts w:hint="eastAsia" w:ascii="仿宋_GB2312" w:hAnsi="仿宋_GB2312" w:cs="仿宋_GB2312"/>
                <w:kern w:val="0"/>
                <w:sz w:val="24"/>
                <w:szCs w:val="24"/>
              </w:rPr>
              <w:t>一是金融风险防控措施执行存在短板。3家企业超限额、超范围或违规跨省域发放贷款，涉及金额2.05亿元。1家企业未经批准开展15笔贴现业务，涉及金额693.66万元。1家企业融资3.9亿元来源不合规，1家企业向欠税企业提供贷款担保2,600万元，1家企业使用自有资金6.26亿元承接销售金融产品的损失风险。</w:t>
            </w:r>
          </w:p>
        </w:tc>
        <w:tc>
          <w:tcPr>
            <w:tcW w:w="1723" w:type="dxa"/>
            <w:vAlign w:val="center"/>
          </w:tcPr>
          <w:p>
            <w:pPr>
              <w:widowControl/>
              <w:spacing w:line="360" w:lineRule="exact"/>
              <w:jc w:val="center"/>
              <w:rPr>
                <w:rFonts w:ascii="仿宋_GB2312" w:hAnsi="仿宋_GB2312" w:cs="仿宋_GB2312"/>
                <w:kern w:val="0"/>
                <w:sz w:val="24"/>
                <w:szCs w:val="24"/>
              </w:rPr>
            </w:pPr>
            <w:r>
              <w:rPr>
                <w:rFonts w:hint="eastAsia" w:ascii="仿宋_GB2312" w:hAnsi="仿宋_GB2312" w:cs="仿宋_GB2312"/>
                <w:kern w:val="0"/>
                <w:sz w:val="24"/>
                <w:szCs w:val="24"/>
              </w:rPr>
              <w:t>特发集团、赛格集团、国信证券</w:t>
            </w:r>
          </w:p>
        </w:tc>
        <w:tc>
          <w:tcPr>
            <w:tcW w:w="1290" w:type="dxa"/>
            <w:vAlign w:val="center"/>
          </w:tcPr>
          <w:p>
            <w:pPr>
              <w:widowControl/>
              <w:spacing w:line="360" w:lineRule="exact"/>
              <w:jc w:val="center"/>
              <w:rPr>
                <w:rFonts w:ascii="仿宋_GB2312" w:hAnsi="仿宋_GB2312" w:cs="仿宋_GB2312"/>
                <w:color w:val="000000"/>
                <w:kern w:val="0"/>
                <w:sz w:val="24"/>
                <w:szCs w:val="24"/>
              </w:rPr>
            </w:pPr>
            <w:r>
              <w:rPr>
                <w:rFonts w:hint="eastAsia" w:ascii="仿宋_GB2312" w:hAnsi="仿宋_GB2312" w:cs="仿宋_GB2312"/>
                <w:color w:val="000000"/>
                <w:kern w:val="0"/>
                <w:sz w:val="24"/>
                <w:szCs w:val="24"/>
              </w:rPr>
              <w:t>担保集团</w:t>
            </w:r>
          </w:p>
        </w:tc>
        <w:tc>
          <w:tcPr>
            <w:tcW w:w="2226" w:type="dxa"/>
            <w:vAlign w:val="center"/>
          </w:tcPr>
          <w:p>
            <w:pPr>
              <w:widowControl/>
              <w:spacing w:line="360" w:lineRule="exact"/>
              <w:jc w:val="center"/>
              <w:rPr>
                <w:rFonts w:ascii="仿宋_GB2312" w:hAnsi="仿宋_GB2312" w:cs="仿宋_GB2312"/>
                <w:color w:val="000000"/>
                <w:kern w:val="0"/>
                <w:sz w:val="24"/>
                <w:szCs w:val="24"/>
              </w:rPr>
            </w:pPr>
            <w:r>
              <w:rPr>
                <w:rFonts w:hint="eastAsia" w:ascii="仿宋_GB2312" w:hAnsi="仿宋_GB2312" w:cs="仿宋_GB2312"/>
                <w:color w:val="000000"/>
                <w:kern w:val="0"/>
                <w:sz w:val="24"/>
                <w:szCs w:val="24"/>
              </w:rPr>
              <w:t>各相关金融企业要严格执行监管要求，按照设立目标、许可经营范围和有关规定开展业务，合法合规融资，加强业务管理，在保证项目安全规范的基础上加快股权纾困进度。</w:t>
            </w:r>
          </w:p>
        </w:tc>
        <w:tc>
          <w:tcPr>
            <w:tcW w:w="4197" w:type="dxa"/>
            <w:vAlign w:val="center"/>
          </w:tcPr>
          <w:p>
            <w:pPr>
              <w:widowControl/>
              <w:spacing w:line="360" w:lineRule="exact"/>
              <w:jc w:val="left"/>
              <w:rPr>
                <w:rFonts w:ascii="仿宋_GB2312" w:hAnsi="仿宋_GB2312" w:cs="仿宋_GB2312"/>
                <w:color w:val="000000"/>
                <w:kern w:val="0"/>
                <w:sz w:val="24"/>
                <w:szCs w:val="24"/>
              </w:rPr>
            </w:pPr>
            <w:r>
              <w:rPr>
                <w:rFonts w:hint="eastAsia" w:ascii="仿宋_GB2312" w:hAnsi="仿宋_GB2312" w:cs="仿宋_GB2312"/>
                <w:color w:val="000000"/>
                <w:kern w:val="0"/>
                <w:sz w:val="24"/>
                <w:szCs w:val="24"/>
              </w:rPr>
              <w:t>各相关责任单位主要采取以下整改措施：一是追回风险资金，进行追责问责。担保集团已收回违规跨省域发放的贷款6000万元，剩余1300万元正在积极推进中；赛格集团下属公司已归还全部来源不合规的融资款3.9亿元；特发集团对下属公司超限额发放贷款行为给予2名责任人党纪处分。二是加强金融风险防控，规范业务管理。特发集团已禁止下属公司开展票据贴现类业务；担保集团实现在放款审查阶段自动查询项目公开不良信息，加强对重大诉讼信息和关键信息的审查。国信证券优化运营平台风险提醒功能，完善对管理人及其托管产品的风险跟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8" w:hRule="atLeast"/>
          <w:jc w:val="center"/>
        </w:trPr>
        <w:tc>
          <w:tcPr>
            <w:tcW w:w="793" w:type="dxa"/>
            <w:vAlign w:val="center"/>
          </w:tcPr>
          <w:p>
            <w:pPr>
              <w:widowControl/>
              <w:spacing w:line="300" w:lineRule="exact"/>
              <w:jc w:val="center"/>
              <w:rPr>
                <w:rFonts w:ascii="仿宋_GB2312" w:hAnsi="仿宋_GB2312" w:cs="仿宋_GB2312"/>
                <w:color w:val="000000"/>
                <w:kern w:val="0"/>
                <w:sz w:val="24"/>
                <w:szCs w:val="24"/>
              </w:rPr>
            </w:pPr>
            <w:r>
              <w:rPr>
                <w:rFonts w:hint="eastAsia" w:ascii="仿宋_GB2312" w:hAnsi="仿宋_GB2312" w:cs="仿宋_GB2312"/>
                <w:color w:val="000000"/>
                <w:kern w:val="0"/>
                <w:sz w:val="24"/>
                <w:szCs w:val="24"/>
              </w:rPr>
              <w:t>7</w:t>
            </w:r>
          </w:p>
        </w:tc>
        <w:tc>
          <w:tcPr>
            <w:tcW w:w="812" w:type="dxa"/>
            <w:vAlign w:val="center"/>
          </w:tcPr>
          <w:p>
            <w:pPr>
              <w:widowControl/>
              <w:spacing w:line="300" w:lineRule="exact"/>
              <w:jc w:val="center"/>
              <w:rPr>
                <w:rFonts w:ascii="仿宋_GB2312" w:hAnsi="仿宋_GB2312" w:cs="仿宋_GB2312"/>
                <w:color w:val="000000"/>
                <w:kern w:val="0"/>
                <w:sz w:val="24"/>
                <w:szCs w:val="24"/>
              </w:rPr>
            </w:pPr>
            <w:r>
              <w:rPr>
                <w:rFonts w:hint="eastAsia" w:ascii="仿宋_GB2312" w:hAnsi="仿宋_GB2312" w:cs="仿宋_GB2312"/>
                <w:color w:val="000000"/>
                <w:kern w:val="0"/>
                <w:sz w:val="24"/>
                <w:szCs w:val="24"/>
              </w:rPr>
              <w:t>五、重大专项审计情况</w:t>
            </w:r>
          </w:p>
        </w:tc>
        <w:tc>
          <w:tcPr>
            <w:tcW w:w="886" w:type="dxa"/>
            <w:gridSpan w:val="2"/>
            <w:vAlign w:val="center"/>
          </w:tcPr>
          <w:p>
            <w:pPr>
              <w:widowControl/>
              <w:spacing w:line="300" w:lineRule="exact"/>
              <w:jc w:val="center"/>
              <w:rPr>
                <w:rFonts w:ascii="仿宋_GB2312" w:hAnsi="仿宋_GB2312" w:cs="仿宋_GB2312"/>
                <w:color w:val="000000"/>
                <w:kern w:val="0"/>
                <w:sz w:val="24"/>
                <w:szCs w:val="24"/>
              </w:rPr>
            </w:pPr>
            <w:r>
              <w:rPr>
                <w:rFonts w:hint="eastAsia" w:ascii="仿宋_GB2312" w:hAnsi="仿宋_GB2312" w:cs="仿宋_GB2312"/>
                <w:color w:val="000000"/>
                <w:kern w:val="0"/>
                <w:sz w:val="24"/>
                <w:szCs w:val="24"/>
              </w:rPr>
              <w:t>（二）专项资金管理使用情况</w:t>
            </w:r>
          </w:p>
        </w:tc>
        <w:tc>
          <w:tcPr>
            <w:tcW w:w="880" w:type="dxa"/>
            <w:vAlign w:val="center"/>
          </w:tcPr>
          <w:p>
            <w:pPr>
              <w:widowControl/>
              <w:spacing w:line="300" w:lineRule="exact"/>
              <w:rPr>
                <w:rFonts w:ascii="仿宋_GB2312" w:hAnsi="仿宋_GB2312" w:cs="仿宋_GB2312"/>
                <w:color w:val="000000"/>
                <w:kern w:val="0"/>
                <w:sz w:val="24"/>
                <w:szCs w:val="24"/>
              </w:rPr>
            </w:pPr>
            <w:r>
              <w:rPr>
                <w:rFonts w:hint="eastAsia" w:ascii="仿宋_GB2312" w:hAnsi="仿宋_GB2312" w:cs="仿宋_GB2312"/>
                <w:color w:val="000000"/>
                <w:kern w:val="0"/>
                <w:sz w:val="24"/>
                <w:szCs w:val="24"/>
              </w:rPr>
              <w:t>未及时收缴个别投资资金及收益</w:t>
            </w:r>
          </w:p>
        </w:tc>
        <w:tc>
          <w:tcPr>
            <w:tcW w:w="2708" w:type="dxa"/>
            <w:vAlign w:val="center"/>
          </w:tcPr>
          <w:p>
            <w:pPr>
              <w:widowControl/>
              <w:spacing w:line="300" w:lineRule="exact"/>
              <w:rPr>
                <w:rFonts w:ascii="仿宋_GB2312" w:hAnsi="仿宋_GB2312" w:cs="仿宋_GB2312"/>
                <w:color w:val="000000"/>
                <w:kern w:val="0"/>
                <w:sz w:val="24"/>
                <w:szCs w:val="24"/>
              </w:rPr>
            </w:pPr>
            <w:r>
              <w:rPr>
                <w:rFonts w:hint="eastAsia" w:ascii="仿宋_GB2312" w:hAnsi="仿宋_GB2312" w:cs="仿宋_GB2312"/>
                <w:color w:val="000000"/>
                <w:kern w:val="0"/>
                <w:sz w:val="24"/>
                <w:szCs w:val="24"/>
              </w:rPr>
              <w:t>股权投资资金主要用于扶持科技创新型中小企业成长，项目验收通过后按约定获取固定收益及退出股权。3个主管部门未及时跟进资金上缴，导致退出资金及投资收益滚存于委托机构，涉及项目29个、金额2.62亿元。</w:t>
            </w:r>
          </w:p>
        </w:tc>
        <w:tc>
          <w:tcPr>
            <w:tcW w:w="1723" w:type="dxa"/>
            <w:vAlign w:val="center"/>
          </w:tcPr>
          <w:p>
            <w:pPr>
              <w:widowControl/>
              <w:spacing w:line="300" w:lineRule="exact"/>
              <w:jc w:val="center"/>
              <w:rPr>
                <w:rFonts w:ascii="仿宋_GB2312" w:hAnsi="仿宋_GB2312" w:cs="仿宋_GB2312"/>
                <w:color w:val="000000"/>
                <w:kern w:val="0"/>
                <w:sz w:val="24"/>
                <w:szCs w:val="24"/>
              </w:rPr>
            </w:pPr>
            <w:r>
              <w:rPr>
                <w:rFonts w:hint="eastAsia" w:ascii="仿宋_GB2312" w:hAnsi="仿宋_GB2312" w:cs="仿宋_GB2312"/>
                <w:color w:val="000000"/>
                <w:kern w:val="0"/>
                <w:sz w:val="24"/>
                <w:szCs w:val="24"/>
              </w:rPr>
              <w:t>市委军民融合办</w:t>
            </w:r>
          </w:p>
        </w:tc>
        <w:tc>
          <w:tcPr>
            <w:tcW w:w="1290" w:type="dxa"/>
            <w:vAlign w:val="center"/>
          </w:tcPr>
          <w:p>
            <w:pPr>
              <w:widowControl/>
              <w:spacing w:line="300" w:lineRule="exact"/>
              <w:jc w:val="center"/>
              <w:rPr>
                <w:rFonts w:ascii="仿宋_GB2312" w:hAnsi="仿宋_GB2312" w:cs="仿宋_GB2312"/>
                <w:color w:val="000000"/>
                <w:kern w:val="0"/>
                <w:sz w:val="24"/>
                <w:szCs w:val="24"/>
              </w:rPr>
            </w:pPr>
            <w:r>
              <w:rPr>
                <w:rFonts w:hint="eastAsia" w:ascii="仿宋_GB2312" w:hAnsi="仿宋_GB2312" w:cs="仿宋_GB2312"/>
                <w:color w:val="000000"/>
                <w:kern w:val="0"/>
                <w:sz w:val="24"/>
                <w:szCs w:val="24"/>
              </w:rPr>
              <w:t>市发展改革委、工业和信息化局</w:t>
            </w:r>
          </w:p>
        </w:tc>
        <w:tc>
          <w:tcPr>
            <w:tcW w:w="2226" w:type="dxa"/>
            <w:vAlign w:val="center"/>
          </w:tcPr>
          <w:p>
            <w:pPr>
              <w:widowControl/>
              <w:spacing w:line="300" w:lineRule="exact"/>
              <w:rPr>
                <w:rFonts w:ascii="仿宋_GB2312" w:hAnsi="仿宋_GB2312" w:cs="仿宋_GB2312"/>
                <w:color w:val="000000"/>
                <w:kern w:val="0"/>
                <w:sz w:val="24"/>
                <w:szCs w:val="24"/>
              </w:rPr>
            </w:pPr>
            <w:r>
              <w:rPr>
                <w:rFonts w:hint="eastAsia" w:ascii="仿宋_GB2312" w:hAnsi="仿宋_GB2312" w:cs="仿宋_GB2312"/>
                <w:color w:val="000000"/>
                <w:kern w:val="0"/>
                <w:sz w:val="24"/>
                <w:szCs w:val="24"/>
              </w:rPr>
              <w:t>市委军民融合办以及市发展改革委、工业和信息化局要及时跟进项目进度并回收财政资金，指导督促委托机构按约定清理未落实投资款项、股权退出款项、投资收益等，及时上缴财政。</w:t>
            </w:r>
          </w:p>
        </w:tc>
        <w:tc>
          <w:tcPr>
            <w:tcW w:w="4197" w:type="dxa"/>
            <w:vAlign w:val="center"/>
          </w:tcPr>
          <w:p>
            <w:pPr>
              <w:widowControl/>
              <w:spacing w:line="300" w:lineRule="exact"/>
              <w:jc w:val="left"/>
              <w:rPr>
                <w:rFonts w:ascii="仿宋_GB2312" w:hAnsi="仿宋_GB2312" w:cs="仿宋_GB2312"/>
                <w:color w:val="000000"/>
                <w:kern w:val="0"/>
                <w:sz w:val="24"/>
                <w:szCs w:val="24"/>
              </w:rPr>
            </w:pPr>
            <w:r>
              <w:rPr>
                <w:rFonts w:hint="eastAsia" w:ascii="仿宋_GB2312" w:hAnsi="仿宋_GB2312" w:cs="仿宋_GB2312"/>
                <w:color w:val="000000"/>
                <w:kern w:val="0"/>
                <w:sz w:val="24"/>
                <w:szCs w:val="24"/>
              </w:rPr>
              <w:t>各相关责任单位落实资金主管部门职责，共同研究资金回缴最优路径，积极协调相关公司明确解决方案，指导督促其做好项目分期退出和资金清理回缴。截至2021年11月底，相关公司已将15个完全退出项目的本金、收益和孳息合计16,179.50万元上缴财政，剩余部分退出项目的资金将按退出进度逐步收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6" w:hRule="atLeast"/>
          <w:jc w:val="center"/>
        </w:trPr>
        <w:tc>
          <w:tcPr>
            <w:tcW w:w="793" w:type="dxa"/>
            <w:vAlign w:val="center"/>
          </w:tcPr>
          <w:p>
            <w:pPr>
              <w:widowControl/>
              <w:spacing w:line="300" w:lineRule="exact"/>
              <w:jc w:val="center"/>
              <w:rPr>
                <w:rFonts w:ascii="仿宋_GB2312" w:hAnsi="仿宋_GB2312" w:cs="仿宋_GB2312"/>
                <w:color w:val="000000"/>
                <w:kern w:val="0"/>
                <w:sz w:val="24"/>
                <w:szCs w:val="24"/>
              </w:rPr>
            </w:pPr>
            <w:r>
              <w:rPr>
                <w:rFonts w:hint="eastAsia" w:ascii="仿宋_GB2312" w:hAnsi="仿宋_GB2312" w:cs="仿宋_GB2312"/>
                <w:color w:val="000000"/>
                <w:kern w:val="0"/>
                <w:sz w:val="24"/>
                <w:szCs w:val="24"/>
              </w:rPr>
              <w:t>8</w:t>
            </w:r>
          </w:p>
        </w:tc>
        <w:tc>
          <w:tcPr>
            <w:tcW w:w="812" w:type="dxa"/>
            <w:vAlign w:val="center"/>
          </w:tcPr>
          <w:p>
            <w:pPr>
              <w:widowControl/>
              <w:spacing w:line="300" w:lineRule="exact"/>
              <w:jc w:val="center"/>
              <w:rPr>
                <w:rFonts w:ascii="仿宋_GB2312" w:hAnsi="仿宋_GB2312" w:cs="仿宋_GB2312"/>
                <w:color w:val="000000"/>
                <w:kern w:val="0"/>
                <w:sz w:val="24"/>
                <w:szCs w:val="24"/>
              </w:rPr>
            </w:pPr>
            <w:r>
              <w:rPr>
                <w:rFonts w:hint="eastAsia" w:ascii="仿宋_GB2312" w:hAnsi="仿宋_GB2312" w:cs="仿宋_GB2312"/>
                <w:color w:val="000000"/>
                <w:kern w:val="0"/>
                <w:sz w:val="24"/>
                <w:szCs w:val="24"/>
              </w:rPr>
              <w:t>七、政府投资项目审计情况</w:t>
            </w:r>
          </w:p>
        </w:tc>
        <w:tc>
          <w:tcPr>
            <w:tcW w:w="886" w:type="dxa"/>
            <w:gridSpan w:val="2"/>
            <w:vAlign w:val="center"/>
          </w:tcPr>
          <w:p>
            <w:pPr>
              <w:widowControl/>
              <w:spacing w:line="300" w:lineRule="exact"/>
              <w:jc w:val="center"/>
              <w:rPr>
                <w:rFonts w:ascii="仿宋_GB2312" w:hAnsi="仿宋_GB2312" w:cs="仿宋_GB2312"/>
                <w:color w:val="000000"/>
                <w:kern w:val="0"/>
                <w:sz w:val="24"/>
                <w:szCs w:val="24"/>
              </w:rPr>
            </w:pPr>
            <w:r>
              <w:rPr>
                <w:rFonts w:hint="eastAsia" w:ascii="仿宋_GB2312" w:hAnsi="仿宋_GB2312" w:cs="仿宋_GB2312"/>
                <w:color w:val="000000"/>
                <w:kern w:val="0"/>
                <w:sz w:val="24"/>
                <w:szCs w:val="24"/>
              </w:rPr>
              <w:t>（一）部分应急工程与建设目标存在一定差距</w:t>
            </w:r>
          </w:p>
        </w:tc>
        <w:tc>
          <w:tcPr>
            <w:tcW w:w="880" w:type="dxa"/>
            <w:vAlign w:val="center"/>
          </w:tcPr>
          <w:p>
            <w:pPr>
              <w:widowControl/>
              <w:spacing w:line="300" w:lineRule="exact"/>
              <w:rPr>
                <w:rFonts w:ascii="仿宋_GB2312" w:hAnsi="仿宋_GB2312" w:cs="仿宋_GB2312"/>
                <w:color w:val="000000"/>
                <w:kern w:val="0"/>
                <w:sz w:val="24"/>
                <w:szCs w:val="24"/>
              </w:rPr>
            </w:pPr>
            <w:r>
              <w:rPr>
                <w:rFonts w:hint="eastAsia" w:ascii="仿宋_GB2312" w:hAnsi="仿宋_GB2312" w:cs="仿宋_GB2312"/>
                <w:color w:val="000000"/>
                <w:kern w:val="0"/>
                <w:sz w:val="24"/>
                <w:szCs w:val="24"/>
              </w:rPr>
              <w:t>部分应急工程与建设目标存在一定差距</w:t>
            </w:r>
          </w:p>
        </w:tc>
        <w:tc>
          <w:tcPr>
            <w:tcW w:w="2708" w:type="dxa"/>
            <w:vAlign w:val="center"/>
          </w:tcPr>
          <w:p>
            <w:pPr>
              <w:widowControl/>
              <w:spacing w:line="300" w:lineRule="exact"/>
              <w:rPr>
                <w:rFonts w:ascii="仿宋_GB2312" w:hAnsi="仿宋_GB2312" w:cs="仿宋_GB2312"/>
                <w:color w:val="000000"/>
                <w:kern w:val="0"/>
                <w:sz w:val="24"/>
                <w:szCs w:val="24"/>
              </w:rPr>
            </w:pPr>
            <w:r>
              <w:rPr>
                <w:rFonts w:hint="eastAsia" w:ascii="仿宋_GB2312" w:hAnsi="仿宋_GB2312" w:cs="仿宋_GB2312"/>
                <w:color w:val="000000"/>
                <w:kern w:val="0"/>
                <w:sz w:val="24"/>
                <w:szCs w:val="24"/>
              </w:rPr>
              <w:t>由于前期工作不扎实、承包单位履约能力不足等，审计抽查的29个工程中，8个工程在认定为应急工程后3个月内未开工；仅有5个按照目标进度完成建设，占比17.24%。</w:t>
            </w:r>
          </w:p>
        </w:tc>
        <w:tc>
          <w:tcPr>
            <w:tcW w:w="1723" w:type="dxa"/>
            <w:vAlign w:val="center"/>
          </w:tcPr>
          <w:p>
            <w:pPr>
              <w:widowControl/>
              <w:spacing w:line="300" w:lineRule="exact"/>
              <w:jc w:val="center"/>
              <w:rPr>
                <w:rFonts w:ascii="仿宋_GB2312" w:hAnsi="仿宋_GB2312" w:cs="仿宋_GB2312"/>
                <w:color w:val="000000"/>
                <w:kern w:val="0"/>
                <w:sz w:val="24"/>
                <w:szCs w:val="24"/>
              </w:rPr>
            </w:pPr>
            <w:r>
              <w:rPr>
                <w:rFonts w:hint="eastAsia" w:ascii="仿宋_GB2312" w:hAnsi="仿宋_GB2312" w:cs="仿宋_GB2312"/>
                <w:color w:val="000000"/>
                <w:kern w:val="0"/>
                <w:sz w:val="24"/>
                <w:szCs w:val="24"/>
              </w:rPr>
              <w:t>市规划和自然资源局、水务局、城管和综合执法局</w:t>
            </w:r>
          </w:p>
        </w:tc>
        <w:tc>
          <w:tcPr>
            <w:tcW w:w="1290" w:type="dxa"/>
            <w:vAlign w:val="center"/>
          </w:tcPr>
          <w:p>
            <w:pPr>
              <w:widowControl/>
              <w:spacing w:line="300" w:lineRule="exact"/>
              <w:jc w:val="center"/>
              <w:rPr>
                <w:rFonts w:ascii="仿宋_GB2312" w:hAnsi="仿宋_GB2312" w:cs="仿宋_GB2312"/>
                <w:color w:val="000000"/>
                <w:kern w:val="0"/>
                <w:sz w:val="24"/>
                <w:szCs w:val="24"/>
              </w:rPr>
            </w:pPr>
            <w:r>
              <w:rPr>
                <w:rFonts w:hint="eastAsia" w:ascii="仿宋_GB2312" w:hAnsi="仿宋_GB2312" w:cs="仿宋_GB2312"/>
                <w:color w:val="000000"/>
                <w:kern w:val="0"/>
                <w:sz w:val="24"/>
                <w:szCs w:val="24"/>
              </w:rPr>
              <w:t>市卫生健康委、政务服务数据管理局、建筑工务署</w:t>
            </w:r>
          </w:p>
        </w:tc>
        <w:tc>
          <w:tcPr>
            <w:tcW w:w="2226" w:type="dxa"/>
            <w:vAlign w:val="center"/>
          </w:tcPr>
          <w:p>
            <w:pPr>
              <w:widowControl/>
              <w:spacing w:line="300" w:lineRule="exact"/>
              <w:rPr>
                <w:rFonts w:ascii="仿宋_GB2312" w:hAnsi="仿宋_GB2312" w:cs="仿宋_GB2312"/>
                <w:color w:val="000000"/>
                <w:kern w:val="0"/>
                <w:sz w:val="24"/>
                <w:szCs w:val="24"/>
              </w:rPr>
            </w:pPr>
            <w:r>
              <w:rPr>
                <w:rFonts w:hint="eastAsia" w:ascii="仿宋_GB2312" w:hAnsi="仿宋_GB2312" w:cs="仿宋_GB2312"/>
                <w:color w:val="000000"/>
                <w:kern w:val="0"/>
                <w:sz w:val="24"/>
                <w:szCs w:val="24"/>
              </w:rPr>
              <w:t>市规划和自然资源局、水务局、卫生健康委、城管和综合执法局、政务服务数据管理局、建筑工务署等建设单位要落实主体责任，扎实开展前期工作，加强与相关部门的沟通协调，做好对承包单位合同履约评价，采取有效举措推进应急工程项目建设。</w:t>
            </w:r>
          </w:p>
        </w:tc>
        <w:tc>
          <w:tcPr>
            <w:tcW w:w="4197" w:type="dxa"/>
            <w:vAlign w:val="center"/>
          </w:tcPr>
          <w:p>
            <w:pPr>
              <w:widowControl/>
              <w:spacing w:line="300" w:lineRule="exact"/>
              <w:jc w:val="left"/>
              <w:rPr>
                <w:rFonts w:ascii="仿宋_GB2312" w:hAnsi="仿宋_GB2312" w:cs="仿宋_GB2312"/>
                <w:color w:val="000000"/>
                <w:kern w:val="0"/>
                <w:sz w:val="24"/>
                <w:szCs w:val="24"/>
              </w:rPr>
            </w:pPr>
            <w:r>
              <w:rPr>
                <w:rFonts w:hint="eastAsia" w:ascii="仿宋_GB2312" w:hAnsi="仿宋_GB2312" w:cs="仿宋_GB2312"/>
                <w:color w:val="000000"/>
                <w:kern w:val="0"/>
                <w:sz w:val="24"/>
                <w:szCs w:val="24"/>
              </w:rPr>
              <w:t>各相关责任单位落实主体责任，采取召开工作会议、压缩工作周期、合理调配资源、现场检查指导等举措推进应急工程项目建设。审计指出8个未及时开工的应急工程项目，5个已完工，1个已开工，2个已获得概算批复；审计指出24个未达到预定目标的应急工程项目，11个已完工或通过验收，4个项目主体已基本完成，2个项目已取消实施或申请终止，7个项目已按照设定目标有序推进中。各相关责任单位将严格控制特殊工程认定申请，加强前期沟通协调，确保应急工程如期开工建设。</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小标宋_GBK">
    <w:altName w:val="Arial Unicode MS"/>
    <w:panose1 w:val="00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FA12FC"/>
    <w:rsid w:val="10FA12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character" w:styleId="5">
    <w:name w:val="page number"/>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2021-12-28T02:48:00Z</dcterms:created>
  <dc:creator>Administrator</dc:creator>
  <cp:lastModifiedBy>Administrator</cp:lastModifiedBy>
  <dcterms:modified xsi:type="dcterms:W3CDTF">2021-12-28T02:49:23Z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C753A2B6DF2E4683B9F029C1B856653F</vt:lpwstr>
  </property>
</Properties>
</file>