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79" w:lineRule="exact"/>
        <w:ind w:right="225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ascii="方正小标宋简体" w:hAnsi="黑体" w:eastAsia="方正小标宋简体" w:cs="宋体"/>
          <w:kern w:val="36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36"/>
          <w:sz w:val="36"/>
          <w:szCs w:val="36"/>
        </w:rPr>
        <w:t>内部审计促进组织贯彻落实党和国家</w:t>
      </w:r>
    </w:p>
    <w:p>
      <w:pPr>
        <w:jc w:val="center"/>
        <w:rPr>
          <w:rFonts w:hint="eastAsia" w:ascii="方正小标宋简体" w:hAnsi="黑体" w:eastAsia="方正小标宋简体" w:cs="宋体"/>
          <w:kern w:val="36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36"/>
          <w:sz w:val="36"/>
          <w:szCs w:val="36"/>
        </w:rPr>
        <w:t>重大政策措施典型经验名单</w:t>
      </w:r>
    </w:p>
    <w:p>
      <w:pPr>
        <w:jc w:val="center"/>
      </w:pPr>
    </w:p>
    <w:p>
      <w:pPr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1、充分发挥内审职能，全面助推金融科技安全发展</w:t>
      </w:r>
    </w:p>
    <w:p>
      <w:pPr>
        <w:spacing w:line="579" w:lineRule="exact"/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——招商证券内部审计贯彻落实金融科技战略的实践</w:t>
      </w:r>
    </w:p>
    <w:p>
      <w:pPr>
        <w:spacing w:line="579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——招商证券股份有限公司</w:t>
      </w:r>
    </w:p>
    <w:p>
      <w:pPr>
        <w:spacing w:line="579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2、周延有效筑空港，平安稳健任远翔</w:t>
      </w:r>
    </w:p>
    <w:bookmarkEnd w:id="0"/>
    <w:p>
      <w:pPr>
        <w:spacing w:line="579" w:lineRule="exact"/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——深圳市机场（集团）有限公司</w:t>
      </w:r>
    </w:p>
    <w:p>
      <w:pPr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3、同心抗疫、审计保障</w:t>
      </w:r>
    </w:p>
    <w:p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——中国建筑国际集团内部审计为香港抗疫工程保驾护航</w:t>
      </w:r>
    </w:p>
    <w:p>
      <w:pPr>
        <w:spacing w:line="579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——中国建筑国际集团有限公司</w:t>
      </w:r>
    </w:p>
    <w:p>
      <w:pPr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4、电力企业内部审计如何促进党和国家重大政策在公司的贯彻落实                            </w:t>
      </w:r>
    </w:p>
    <w:p>
      <w:pPr>
        <w:spacing w:line="579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——深圳供电局有限公司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75DE3"/>
    <w:rsid w:val="1327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2021-12-22T09:08:00Z</dcterms:created>
  <dc:creator>Administrator</dc:creator>
  <cp:lastModifiedBy>Administrator</cp:lastModifiedBy>
  <dcterms:modified xsi:type="dcterms:W3CDTF">2021-12-22T09:09:47Z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6D81D8AD32D942CABC0E8BCA9CBDA9D4</vt:lpwstr>
  </property>
</Properties>
</file>