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Arial" w:hAnsi="Arial" w:cs="Arial"/>
          <w:b/>
          <w:color w:val="333333"/>
          <w:sz w:val="28"/>
          <w:szCs w:val="28"/>
          <w:shd w:val="clear" w:color="auto" w:fill="FFFFFF"/>
        </w:rPr>
      </w:pPr>
      <w:r>
        <w:rPr>
          <w:rFonts w:hint="eastAsia" w:ascii="Arial" w:hAnsi="Arial" w:cs="Arial"/>
          <w:b/>
          <w:color w:val="333333"/>
          <w:sz w:val="28"/>
          <w:szCs w:val="28"/>
          <w:shd w:val="clear" w:color="auto" w:fill="FFFFFF"/>
        </w:rPr>
        <w:t>附件2</w:t>
      </w:r>
    </w:p>
    <w:p>
      <w:pPr>
        <w:ind w:firstLine="570"/>
        <w:jc w:val="center"/>
        <w:rPr>
          <w:rFonts w:hint="eastAsia" w:ascii="宋体" w:hAnsi="宋体" w:eastAsia="宋体" w:cs="宋体"/>
          <w:b/>
          <w:sz w:val="28"/>
          <w:szCs w:val="28"/>
        </w:rPr>
      </w:pPr>
      <w:bookmarkStart w:id="0" w:name="_GoBack"/>
      <w:r>
        <w:rPr>
          <w:rFonts w:ascii="宋体" w:hAnsi="宋体" w:eastAsia="宋体" w:cs="Arial"/>
          <w:b/>
          <w:sz w:val="28"/>
          <w:szCs w:val="28"/>
          <w:shd w:val="clear" w:color="auto" w:fill="FFFFFF"/>
        </w:rPr>
        <w:t>深圳内审机构201</w:t>
      </w:r>
      <w:r>
        <w:rPr>
          <w:rFonts w:hint="eastAsia" w:ascii="宋体" w:hAnsi="宋体" w:eastAsia="宋体" w:cs="Arial"/>
          <w:b/>
          <w:sz w:val="28"/>
          <w:szCs w:val="28"/>
          <w:shd w:val="clear" w:color="auto" w:fill="FFFFFF"/>
        </w:rPr>
        <w:t>9</w:t>
      </w:r>
      <w:r>
        <w:rPr>
          <w:rFonts w:ascii="宋体" w:hAnsi="宋体" w:eastAsia="宋体" w:cs="Arial"/>
          <w:b/>
          <w:sz w:val="28"/>
          <w:szCs w:val="28"/>
          <w:shd w:val="clear" w:color="auto" w:fill="FFFFFF"/>
        </w:rPr>
        <w:t>-20</w:t>
      </w:r>
      <w:r>
        <w:rPr>
          <w:rFonts w:hint="eastAsia" w:ascii="宋体" w:hAnsi="宋体" w:eastAsia="宋体" w:cs="Arial"/>
          <w:b/>
          <w:sz w:val="28"/>
          <w:szCs w:val="28"/>
          <w:shd w:val="clear" w:color="auto" w:fill="FFFFFF"/>
        </w:rPr>
        <w:t>20</w:t>
      </w:r>
      <w:r>
        <w:rPr>
          <w:rFonts w:ascii="宋体" w:hAnsi="宋体" w:eastAsia="宋体" w:cs="Arial"/>
          <w:b/>
          <w:sz w:val="28"/>
          <w:szCs w:val="28"/>
          <w:shd w:val="clear" w:color="auto" w:fill="FFFFFF"/>
        </w:rPr>
        <w:t>年度表</w:t>
      </w:r>
      <w:r>
        <w:rPr>
          <w:rFonts w:hint="eastAsia" w:ascii="宋体" w:hAnsi="宋体" w:eastAsia="宋体" w:cs="Arial"/>
          <w:b/>
          <w:sz w:val="28"/>
          <w:szCs w:val="28"/>
          <w:shd w:val="clear" w:color="auto" w:fill="FFFFFF"/>
        </w:rPr>
        <w:t>彰</w:t>
      </w:r>
      <w:r>
        <w:rPr>
          <w:rFonts w:ascii="宋体" w:hAnsi="宋体" w:eastAsia="宋体" w:cs="Arial"/>
          <w:b/>
          <w:sz w:val="28"/>
          <w:szCs w:val="28"/>
          <w:shd w:val="clear" w:color="auto" w:fill="FFFFFF"/>
        </w:rPr>
        <w:t>审计项目评</w:t>
      </w:r>
      <w:r>
        <w:rPr>
          <w:rFonts w:hint="eastAsia" w:ascii="宋体" w:hAnsi="宋体" w:eastAsia="宋体" w:cs="Arial"/>
          <w:b/>
          <w:sz w:val="28"/>
          <w:szCs w:val="28"/>
          <w:shd w:val="clear" w:color="auto" w:fill="FFFFFF"/>
        </w:rPr>
        <w:t>审</w:t>
      </w:r>
      <w:r>
        <w:rPr>
          <w:rFonts w:ascii="宋体" w:hAnsi="宋体" w:eastAsia="宋体" w:cs="Arial"/>
          <w:b/>
          <w:sz w:val="28"/>
          <w:szCs w:val="28"/>
          <w:shd w:val="clear" w:color="auto" w:fill="FFFFFF"/>
        </w:rPr>
        <w:t>结果</w:t>
      </w:r>
      <w:bookmarkEnd w:id="0"/>
    </w:p>
    <w:tbl>
      <w:tblPr>
        <w:tblStyle w:val="2"/>
        <w:tblW w:w="0" w:type="auto"/>
        <w:tblInd w:w="93" w:type="dxa"/>
        <w:tblLayout w:type="fixed"/>
        <w:tblCellMar>
          <w:top w:w="0" w:type="dxa"/>
          <w:left w:w="108" w:type="dxa"/>
          <w:bottom w:w="0" w:type="dxa"/>
          <w:right w:w="108" w:type="dxa"/>
        </w:tblCellMar>
      </w:tblPr>
      <w:tblGrid>
        <w:gridCol w:w="724"/>
        <w:gridCol w:w="3969"/>
        <w:gridCol w:w="3686"/>
      </w:tblGrid>
      <w:tr>
        <w:tblPrEx>
          <w:tblCellMar>
            <w:top w:w="0" w:type="dxa"/>
            <w:left w:w="108" w:type="dxa"/>
            <w:bottom w:w="0" w:type="dxa"/>
            <w:right w:w="108" w:type="dxa"/>
          </w:tblCellMar>
        </w:tblPrEx>
        <w:trPr>
          <w:trHeight w:val="36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96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报送项目名称</w:t>
            </w:r>
          </w:p>
        </w:tc>
        <w:tc>
          <w:tcPr>
            <w:tcW w:w="36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单位名称及部门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东江华府项目中期审计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中国建筑第二工程局有限公司核电建设分公司审计部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深能香港公司原总经理离任经济责任审计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深圳能源集团股份有限公司审计风控部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华南公司所属各单位安全生产与环保治理专项审计</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中国建筑第二工程局有限公司华南分公司审计部</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二级支行行长经济责任审计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中国农业银行股份有限公司深圳市分行内控合规监督部</w:t>
            </w:r>
          </w:p>
        </w:tc>
      </w:tr>
      <w:tr>
        <w:tblPrEx>
          <w:tblCellMar>
            <w:top w:w="0" w:type="dxa"/>
            <w:left w:w="108" w:type="dxa"/>
            <w:bottom w:w="0" w:type="dxa"/>
            <w:right w:w="108" w:type="dxa"/>
          </w:tblCellMar>
        </w:tblPrEx>
        <w:trPr>
          <w:trHeight w:val="84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基础设施事业部湛江大道项目IV标段及下穿铁路专线施工总承包工程项目中期审计</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中国建筑第二工程局有限公司华南分公司审计部</w:t>
            </w:r>
          </w:p>
        </w:tc>
      </w:tr>
      <w:tr>
        <w:tblPrEx>
          <w:tblCellMar>
            <w:top w:w="0" w:type="dxa"/>
            <w:left w:w="108" w:type="dxa"/>
            <w:bottom w:w="0" w:type="dxa"/>
            <w:right w:w="108" w:type="dxa"/>
          </w:tblCellMar>
        </w:tblPrEx>
        <w:trPr>
          <w:trHeight w:val="945"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深圳市特发小梅沙投资发展有限公司招标采购及风控体系运行联合专项审计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深圳市特发集团有限公司审计部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WECAN公司管理专项审计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中广核工程有限公司审计部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酒店改造工程专项审计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深圳市投资控股有限公司审计部</w:t>
            </w:r>
          </w:p>
        </w:tc>
      </w:tr>
      <w:tr>
        <w:tblPrEx>
          <w:tblCellMar>
            <w:top w:w="0" w:type="dxa"/>
            <w:left w:w="108" w:type="dxa"/>
            <w:bottom w:w="0" w:type="dxa"/>
            <w:right w:w="108" w:type="dxa"/>
          </w:tblCellMar>
        </w:tblPrEx>
        <w:trPr>
          <w:trHeight w:val="885"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深圳机场卫星厅配套站坪及助航灯光等工程全过程跟踪审计（招投标及合同管理阶段审计）</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深圳市机场（集团）有限公司审计法务部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深圳市深粮控股股份有限公司下属企业经济效益专项审计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深圳市深粮控股股份有限公司风险管理与内审部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2020年代理营业机构内控及管理审计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中国邮政储蓄银行股份有限公司深圳分行审计部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关于国诊中心办公家具项目采购情况的审计报告</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华中科技大学协和深圳医院内部审计科</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AB楼部分国有资产交易流转后评价项目</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深圳市机场股份有限公司审计法务部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资产托管业务专项稽核</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招商证券股份有限公司稽核部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西咸新区秦汉新城兰池佳苑项目经理离任经济责任审计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中铁广州工程局集团深圳工程有限公司审计部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工业安全与消防管理专项审计</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中广核核电运营有限公司审计部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太原南内环西街证券营业部及下属小C证券营业部负责人2019年离岗审计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长城证券股份有限公司审计部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西丽再生水厂原副厂长离任审计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深圳市水务（集团）有限公司审计部</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96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深汕合作区小漠国际物流港一期工程项目全过程跟踪审计第五次审计</w:t>
            </w:r>
          </w:p>
        </w:tc>
        <w:tc>
          <w:tcPr>
            <w:tcW w:w="3686"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深圳市盐田港集团有限公司风险控制与审计部</w:t>
            </w:r>
          </w:p>
        </w:tc>
      </w:tr>
      <w:tr>
        <w:tblPrEx>
          <w:tblCellMar>
            <w:top w:w="0" w:type="dxa"/>
            <w:left w:w="108" w:type="dxa"/>
            <w:bottom w:w="0" w:type="dxa"/>
            <w:right w:w="108" w:type="dxa"/>
          </w:tblCellMar>
        </w:tblPrEx>
        <w:trPr>
          <w:trHeight w:val="72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96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深圳分行2019年绿色信贷审计</w:t>
            </w:r>
          </w:p>
        </w:tc>
        <w:tc>
          <w:tcPr>
            <w:tcW w:w="368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中国邮政储蓄银行股份有限公司深圳分行审计部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80C23"/>
    <w:rsid w:val="4C180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2021-01-07T07:03:00Z</dcterms:created>
  <dc:creator>Administrator</dc:creator>
  <cp:lastModifiedBy>Administrator</cp:lastModifiedBy>
  <dcterms:modified xsi:type="dcterms:W3CDTF">2021-01-07T07:04:34Z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