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深圳市审计局2021年度在线访谈选题建议汇总表</w:t>
      </w:r>
    </w:p>
    <w:bookmarkEnd w:id="0"/>
    <w:p>
      <w:pPr>
        <w:jc w:val="right"/>
        <w:rPr>
          <w:rFonts w:ascii="楷体_GB2312" w:eastAsia="楷体_GB2312"/>
          <w:sz w:val="24"/>
          <w:szCs w:val="32"/>
        </w:rPr>
      </w:pPr>
      <w:r>
        <w:rPr>
          <w:rFonts w:hint="eastAsia" w:ascii="楷体_GB2312" w:eastAsia="楷体_GB2312"/>
          <w:sz w:val="24"/>
          <w:szCs w:val="32"/>
        </w:rPr>
        <w:t>汇总时间：</w:t>
      </w:r>
      <w:r>
        <w:rPr>
          <w:rFonts w:ascii="楷体_GB2312" w:eastAsia="楷体_GB2312"/>
          <w:sz w:val="24"/>
          <w:szCs w:val="32"/>
        </w:rPr>
        <w:t>2020.12.25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选题建议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新形势下如何加强对国有企业的审计监督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扶贫资金审计成果介绍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审计整改监督进展、成效与不足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有关公共工程投资审计问题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聚焦疫情防控和“六稳”“六保”工作开展审计监督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审计助推我市水环境提升工作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民生审计项目如何助推解决问题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重大公共工程项目审计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推进大数据审计构建审计全覆盖格局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审计如何促进医疗卫生专项资金管理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如何对EPC总承包投资项目实施审计监督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审计如何促进国有企业科学持续发展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教育资金专项审计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公共配套设施项目审计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A7451"/>
    <w:rsid w:val="64D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2020-12-30T10:42:00Z</dcterms:created>
  <dc:creator>Administrator</dc:creator>
  <cp:lastModifiedBy>Administrator</cp:lastModifiedBy>
  <dcterms:modified xsi:type="dcterms:W3CDTF">2020-12-30T10:43:27Z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