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2019年深圳市内部审计理论研讨评选结果</w:t>
      </w:r>
    </w:p>
    <w:bookmarkEnd w:id="0"/>
    <w:tbl>
      <w:tblPr>
        <w:tblStyle w:val="2"/>
        <w:tblpPr w:leftFromText="180" w:rightFromText="180" w:vertAnchor="text" w:horzAnchor="page" w:tblpXSpec="center" w:tblpY="48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52"/>
        <w:gridCol w:w="3479"/>
        <w:gridCol w:w="4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奖项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论文报送单位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论文题目及作者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深圳前海微众银行股份有限公司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加强应用控制审计，促进科技金融风控建设    周玉 闫振平 颜涵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深圳市盐田港集团有限公司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基于“目标-风险-控制”理论：完善内控体系建设 规范招标采购管理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谢敏华  罗烨  林旋敏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深圳市人民医院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大数据审计手段推动公立医院内部审计高质量发展    葛继红  黄红云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中广核核电运营有限公司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建设统一信息化平台，推进国有企业内部审计高质量发展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—中广核集团内部审计信息化平台应用研究    刘会燕  张瑜辉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中国南方电网深圳供电局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数据式审计模型在电网工程审计中的应用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王桂钦 段斯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中国建筑第二工程局有限公司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华南公司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审计信息化助推施工企业内部审计高质量发展    刘海凤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7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深圳市燃气集团股份有限公司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 xml:space="preserve">信息技术助推深圳燃气内审创新与发展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郭少明  石俊峰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8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深圳航空有限责任公司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大数据时代民航企业内部舞弊审计的实践与探索    陈文翰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 xml:space="preserve">深圳市燃气集团股份有限公司 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工程审计信息化应用与探索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郭少明  王鹤永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中国南方电网深圳供电局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有限公司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1"/>
              </w:rPr>
              <w:t>移动应用在电力企业内部审计中的应用探索    陈威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中国邮政储蓄银行股份有限公司深圳分行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非现场审计技术在贷款用途真实性监测方面的应用    汤亚洲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深圳航空有限责任公司</w:t>
            </w:r>
          </w:p>
        </w:tc>
        <w:tc>
          <w:tcPr>
            <w:tcW w:w="4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审计全覆盖驱动下的民航企业审计技术创新研究    田琨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shd w:val="clear" w:color="auto" w:fill="FFFFFF"/>
        <w:spacing w:line="360" w:lineRule="auto"/>
        <w:ind w:right="225" w:firstLine="640" w:firstLineChars="200"/>
        <w:rPr>
          <w:rFonts w:hint="eastAsia" w:ascii="Times New Roman" w:hAnsi="Times New Roman" w:eastAsia="仿宋_GB2312"/>
          <w:sz w:val="32"/>
          <w:szCs w:val="20"/>
        </w:rPr>
      </w:pPr>
    </w:p>
    <w:p>
      <w:pPr>
        <w:widowControl/>
        <w:shd w:val="clear" w:color="auto" w:fill="FFFFFF"/>
        <w:spacing w:line="579" w:lineRule="exact"/>
        <w:ind w:right="225"/>
        <w:jc w:val="center"/>
        <w:outlineLvl w:val="0"/>
        <w:rPr>
          <w:rFonts w:hint="eastAsia" w:ascii="宋体" w:hAnsi="宋体" w:eastAsia="仿宋_GB2312" w:cs="宋体"/>
          <w:b/>
          <w:bCs/>
          <w:kern w:val="36"/>
          <w:sz w:val="48"/>
          <w:szCs w:val="4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67"/>
        <w:gridCol w:w="3402"/>
        <w:gridCol w:w="4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论</w:t>
            </w:r>
          </w:p>
          <w:p>
            <w:pPr>
              <w:spacing w:line="280" w:lineRule="exact"/>
              <w:ind w:right="6" w:firstLine="97" w:firstLineChars="4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ind w:right="6"/>
              <w:jc w:val="center"/>
              <w:outlineLvl w:val="0"/>
              <w:rPr>
                <w:rFonts w:hint="eastAsia" w:ascii="仿宋_GB2312" w:hAnsi="Times New Roman" w:eastAsia="仿宋_GB2312"/>
                <w:sz w:val="18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深圳航空有限责任公司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民航企业内部审计信息化建设的探讨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陈禹州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ind w:right="6"/>
              <w:jc w:val="center"/>
              <w:outlineLvl w:val="0"/>
              <w:rPr>
                <w:rFonts w:hint="eastAsia" w:ascii="仿宋_GB2312" w:hAnsi="Times New Roman" w:eastAsia="仿宋_GB2312"/>
                <w:sz w:val="18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深圳市人力资源和社会保障局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浅谈区块链对单位内部审计的作用</w:t>
            </w:r>
          </w:p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吴健德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ind w:right="6"/>
              <w:jc w:val="center"/>
              <w:outlineLvl w:val="0"/>
              <w:rPr>
                <w:rFonts w:hint="eastAsia" w:ascii="仿宋_GB2312" w:hAnsi="Times New Roman" w:eastAsia="仿宋_GB2312"/>
                <w:sz w:val="18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21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深圳市机场（集团）有限公司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信息化背景下内部审计系统建设展望</w:t>
            </w:r>
          </w:p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张子胜 赖亚丽 黄保英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ind w:right="6"/>
              <w:jc w:val="center"/>
              <w:outlineLvl w:val="0"/>
              <w:rPr>
                <w:rFonts w:hint="eastAsia" w:ascii="仿宋_GB2312" w:hAnsi="Times New Roman" w:eastAsia="仿宋_GB2312"/>
                <w:sz w:val="18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21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深圳航空有限责任公司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大数据在企业内部控制中的应用研究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刘浏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ind w:right="6"/>
              <w:jc w:val="center"/>
              <w:outlineLvl w:val="0"/>
              <w:rPr>
                <w:rFonts w:hint="eastAsia" w:ascii="仿宋_GB2312" w:hAnsi="Times New Roman" w:eastAsia="仿宋_GB2312"/>
                <w:sz w:val="18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21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深圳市特区建设发展集团</w:t>
            </w:r>
          </w:p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有限公司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 xml:space="preserve">从工程审计角度浅谈项目管控  </w:t>
            </w:r>
          </w:p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廖新融  沈莉惠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ind w:right="6"/>
              <w:jc w:val="center"/>
              <w:outlineLvl w:val="0"/>
              <w:rPr>
                <w:rFonts w:hint="eastAsia" w:ascii="仿宋_GB2312" w:hAnsi="Times New Roman" w:eastAsia="仿宋_GB2312"/>
                <w:sz w:val="18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中腾信金融信息服务（上海）</w:t>
            </w:r>
          </w:p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有限公司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大数据环境下Z公司内部审计信息化建设探究     张迪  熊雅娟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80" w:lineRule="exact"/>
              <w:ind w:right="6"/>
              <w:jc w:val="center"/>
              <w:outlineLvl w:val="0"/>
              <w:rPr>
                <w:rFonts w:hint="eastAsia" w:ascii="仿宋_GB2312" w:hAnsi="Times New Roman" w:eastAsia="仿宋_GB2312"/>
                <w:sz w:val="18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21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中国建筑第二工程局有限公司</w:t>
            </w:r>
          </w:p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华南公司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spacing w:line="280" w:lineRule="exact"/>
              <w:ind w:right="6"/>
              <w:outlineLvl w:val="0"/>
              <w:rPr>
                <w:rFonts w:hint="eastAsia" w:ascii="仿宋_GB2312" w:hAnsi="Times New Roman" w:eastAsia="仿宋_GB2312"/>
                <w:sz w:val="22"/>
                <w:szCs w:val="20"/>
                <w:u w:val="thick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lang w:bidi="ar"/>
              </w:rPr>
              <w:t>初窥大数据背景下内部审计方式的创新与对策    郭其彬</w:t>
            </w:r>
          </w:p>
        </w:tc>
      </w:tr>
    </w:tbl>
    <w:p>
      <w:pPr>
        <w:spacing w:line="280" w:lineRule="exact"/>
        <w:ind w:right="6"/>
        <w:outlineLvl w:val="0"/>
        <w:rPr>
          <w:rFonts w:hint="eastAsia" w:ascii="仿宋_GB2312" w:hAnsi="Times New Roman" w:eastAsia="仿宋_GB2312"/>
          <w:sz w:val="22"/>
          <w:szCs w:val="20"/>
          <w:u w:val="thick"/>
        </w:rPr>
      </w:pPr>
    </w:p>
    <w:p>
      <w:pPr>
        <w:spacing w:line="540" w:lineRule="exact"/>
        <w:ind w:right="6"/>
        <w:outlineLvl w:val="0"/>
        <w:rPr>
          <w:rFonts w:hint="eastAsia" w:ascii="仿宋_GB2312" w:hAnsi="Times New Roman" w:eastAsia="仿宋_GB2312"/>
          <w:sz w:val="22"/>
          <w:szCs w:val="20"/>
          <w:u w:val="thick"/>
        </w:rPr>
      </w:pPr>
    </w:p>
    <w:p>
      <w:pPr>
        <w:spacing w:line="540" w:lineRule="exact"/>
        <w:ind w:right="6"/>
        <w:outlineLvl w:val="0"/>
        <w:rPr>
          <w:rFonts w:hint="eastAsia" w:ascii="仿宋_GB2312" w:hAnsi="Times New Roman" w:eastAsia="仿宋_GB2312"/>
          <w:sz w:val="32"/>
          <w:szCs w:val="20"/>
          <w:u w:val="thick"/>
        </w:rPr>
      </w:pP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6"/>
          <w:szCs w:val="36"/>
        </w:rPr>
        <w:t>2019年内部审计理论研讨组织奖名单</w:t>
      </w:r>
    </w:p>
    <w:tbl>
      <w:tblPr>
        <w:tblStyle w:val="2"/>
        <w:tblpPr w:leftFromText="180" w:rightFromText="180" w:vertAnchor="text" w:horzAnchor="page" w:tblpXSpec="center" w:tblpY="570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32"/>
              </w:rPr>
              <w:t>深圳航空有限责任公司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0688"/>
    <w:rsid w:val="1DD3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2019-12-31T03:17:00Z</dcterms:created>
  <dc:creator>Administrator</dc:creator>
  <cp:lastModifiedBy>Administrator</cp:lastModifiedBy>
  <dcterms:modified xsi:type="dcterms:W3CDTF">2019-12-31T03:22:55Z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