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940"/>
        </w:tabs>
        <w:adjustRightInd w:val="0"/>
        <w:snapToGrid w:val="0"/>
        <w:spacing w:line="530" w:lineRule="exact"/>
        <w:rPr>
          <w:rFonts w:ascii="仿宋_GB2312" w:hAnsi="Arial" w:eastAsia="仿宋_GB2312" w:cs="Arial"/>
          <w:color w:val="000000"/>
          <w:sz w:val="32"/>
          <w:szCs w:val="20"/>
        </w:rPr>
      </w:pPr>
      <w:r>
        <w:rPr>
          <w:rFonts w:hint="eastAsia" w:ascii="黑体" w:hAnsi="黑体" w:eastAsia="黑体" w:cs="Arial"/>
          <w:color w:val="000000"/>
          <w:sz w:val="32"/>
          <w:szCs w:val="20"/>
        </w:rPr>
        <w:t>附表</w:t>
      </w:r>
    </w:p>
    <w:p>
      <w:pPr>
        <w:spacing w:line="530" w:lineRule="exact"/>
        <w:jc w:val="center"/>
        <w:rPr>
          <w:rFonts w:ascii="方正小标宋简体" w:hAnsi="Times New Roman" w:eastAsia="方正小标宋简体"/>
          <w:sz w:val="44"/>
          <w:szCs w:val="44"/>
        </w:rPr>
      </w:pPr>
      <w:r>
        <w:rPr>
          <w:rFonts w:hint="eastAsia" w:ascii="方正小标宋简体" w:hAnsi="Times New Roman" w:eastAsia="方正小标宋简体"/>
          <w:sz w:val="44"/>
          <w:szCs w:val="44"/>
        </w:rPr>
        <w:t>《深圳市2019年度本级预算执行和其他财政收支审计工作报告》</w:t>
      </w:r>
    </w:p>
    <w:p>
      <w:pPr>
        <w:spacing w:line="530" w:lineRule="exact"/>
        <w:jc w:val="center"/>
        <w:rPr>
          <w:rFonts w:ascii="方正小标宋简体" w:hAnsi="Times New Roman" w:eastAsia="方正小标宋简体"/>
          <w:sz w:val="44"/>
          <w:szCs w:val="44"/>
        </w:rPr>
      </w:pPr>
      <w:r>
        <w:rPr>
          <w:rFonts w:hint="eastAsia" w:ascii="方正小标宋简体" w:hAnsi="Times New Roman" w:eastAsia="方正小标宋简体"/>
          <w:sz w:val="44"/>
          <w:szCs w:val="44"/>
        </w:rPr>
        <w:t>反映问题及审计处理、整改情况一览表</w:t>
      </w:r>
    </w:p>
    <w:tbl>
      <w:tblPr>
        <w:tblStyle w:val="3"/>
        <w:tblW w:w="151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7"/>
        <w:gridCol w:w="970"/>
        <w:gridCol w:w="1039"/>
        <w:gridCol w:w="1959"/>
        <w:gridCol w:w="5247"/>
        <w:gridCol w:w="1721"/>
        <w:gridCol w:w="33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blHeader/>
          <w:jc w:val="center"/>
        </w:trPr>
        <w:tc>
          <w:tcPr>
            <w:tcW w:w="927" w:type="dxa"/>
            <w:vAlign w:val="center"/>
          </w:tcPr>
          <w:p>
            <w:pPr>
              <w:adjustRightInd w:val="0"/>
              <w:snapToGrid w:val="0"/>
              <w:spacing w:line="360" w:lineRule="exact"/>
              <w:jc w:val="center"/>
              <w:rPr>
                <w:rFonts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序号</w:t>
            </w:r>
          </w:p>
        </w:tc>
        <w:tc>
          <w:tcPr>
            <w:tcW w:w="970" w:type="dxa"/>
            <w:vAlign w:val="center"/>
          </w:tcPr>
          <w:p>
            <w:pPr>
              <w:adjustRightInd w:val="0"/>
              <w:snapToGrid w:val="0"/>
              <w:spacing w:line="360" w:lineRule="exact"/>
              <w:jc w:val="center"/>
              <w:rPr>
                <w:rFonts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项目</w:t>
            </w:r>
          </w:p>
        </w:tc>
        <w:tc>
          <w:tcPr>
            <w:tcW w:w="1039" w:type="dxa"/>
            <w:vAlign w:val="center"/>
          </w:tcPr>
          <w:p>
            <w:pPr>
              <w:adjustRightInd w:val="0"/>
              <w:snapToGrid w:val="0"/>
              <w:spacing w:line="360" w:lineRule="exact"/>
              <w:jc w:val="center"/>
              <w:rPr>
                <w:rFonts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类别</w:t>
            </w:r>
          </w:p>
        </w:tc>
        <w:tc>
          <w:tcPr>
            <w:tcW w:w="7206" w:type="dxa"/>
            <w:gridSpan w:val="2"/>
            <w:vAlign w:val="center"/>
          </w:tcPr>
          <w:p>
            <w:pPr>
              <w:adjustRightInd w:val="0"/>
              <w:snapToGrid w:val="0"/>
              <w:spacing w:line="360" w:lineRule="exact"/>
              <w:jc w:val="center"/>
              <w:rPr>
                <w:rFonts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内容</w:t>
            </w:r>
          </w:p>
        </w:tc>
        <w:tc>
          <w:tcPr>
            <w:tcW w:w="1721" w:type="dxa"/>
            <w:vAlign w:val="center"/>
          </w:tcPr>
          <w:p>
            <w:pPr>
              <w:adjustRightInd w:val="0"/>
              <w:snapToGrid w:val="0"/>
              <w:spacing w:line="360" w:lineRule="exact"/>
              <w:jc w:val="center"/>
              <w:rPr>
                <w:rFonts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责任单位</w:t>
            </w:r>
          </w:p>
        </w:tc>
        <w:tc>
          <w:tcPr>
            <w:tcW w:w="3310" w:type="dxa"/>
            <w:vAlign w:val="center"/>
          </w:tcPr>
          <w:p>
            <w:pPr>
              <w:adjustRightInd w:val="0"/>
              <w:snapToGrid w:val="0"/>
              <w:spacing w:line="360" w:lineRule="exact"/>
              <w:jc w:val="center"/>
              <w:rPr>
                <w:rFonts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审计处理及整改情况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7" w:type="dxa"/>
            <w:vAlign w:val="center"/>
          </w:tcPr>
          <w:p>
            <w:pPr>
              <w:adjustRightInd w:val="0"/>
              <w:snapToGrid w:val="0"/>
              <w:spacing w:line="310" w:lineRule="exact"/>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w:t>
            </w:r>
          </w:p>
        </w:tc>
        <w:tc>
          <w:tcPr>
            <w:tcW w:w="970" w:type="dxa"/>
            <w:vMerge w:val="restart"/>
            <w:vAlign w:val="center"/>
          </w:tcPr>
          <w:p>
            <w:pPr>
              <w:adjustRightInd w:val="0"/>
              <w:snapToGrid w:val="0"/>
              <w:spacing w:line="310" w:lineRule="exact"/>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一、市本级全口径预算审计情况</w:t>
            </w:r>
          </w:p>
        </w:tc>
        <w:tc>
          <w:tcPr>
            <w:tcW w:w="1039" w:type="dxa"/>
            <w:vMerge w:val="restart"/>
            <w:vAlign w:val="center"/>
          </w:tcPr>
          <w:p>
            <w:pPr>
              <w:adjustRightInd w:val="0"/>
              <w:snapToGrid w:val="0"/>
              <w:spacing w:line="310" w:lineRule="exact"/>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（一）一般公共预算执行情况</w:t>
            </w:r>
          </w:p>
        </w:tc>
        <w:tc>
          <w:tcPr>
            <w:tcW w:w="1959" w:type="dxa"/>
            <w:vAlign w:val="center"/>
          </w:tcPr>
          <w:p>
            <w:pPr>
              <w:adjustRightInd w:val="0"/>
              <w:snapToGrid w:val="0"/>
              <w:spacing w:line="310" w:lineRule="exact"/>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市本级转移支付资金代编比例较高</w:t>
            </w:r>
          </w:p>
        </w:tc>
        <w:tc>
          <w:tcPr>
            <w:tcW w:w="5247" w:type="dxa"/>
            <w:vAlign w:val="center"/>
          </w:tcPr>
          <w:p>
            <w:pPr>
              <w:adjustRightInd w:val="0"/>
              <w:snapToGrid w:val="0"/>
              <w:spacing w:line="310" w:lineRule="exac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2019年年初预算中，安排税收返还和转移支付各区（新区、合作区）资金650亿元。其中，未明确具体项目和分配单位的资金241.11亿元，占比37.09%。财政部门代编预算的比例较高，影响执行效果和质量。</w:t>
            </w:r>
          </w:p>
        </w:tc>
        <w:tc>
          <w:tcPr>
            <w:tcW w:w="1721" w:type="dxa"/>
            <w:vMerge w:val="restart"/>
            <w:vAlign w:val="center"/>
          </w:tcPr>
          <w:p>
            <w:pPr>
              <w:adjustRightInd w:val="0"/>
              <w:snapToGrid w:val="0"/>
              <w:spacing w:line="310" w:lineRule="exact"/>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市财政局</w:t>
            </w:r>
          </w:p>
        </w:tc>
        <w:tc>
          <w:tcPr>
            <w:tcW w:w="3310" w:type="dxa"/>
            <w:vMerge w:val="restart"/>
            <w:vAlign w:val="center"/>
          </w:tcPr>
          <w:p>
            <w:pPr>
              <w:adjustRightInd w:val="0"/>
              <w:snapToGrid w:val="0"/>
              <w:spacing w:line="310" w:lineRule="exac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审计要求，市财政局要加强预算编制管理审核，将年初转移支付资金预算细化到具体单位和项目，督促加快项目支出进度，进一步强化监督和绩效评价。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7" w:type="dxa"/>
            <w:vAlign w:val="center"/>
          </w:tcPr>
          <w:p>
            <w:pPr>
              <w:adjustRightInd w:val="0"/>
              <w:snapToGrid w:val="0"/>
              <w:spacing w:line="310" w:lineRule="exact"/>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w:t>
            </w:r>
          </w:p>
        </w:tc>
        <w:tc>
          <w:tcPr>
            <w:tcW w:w="970" w:type="dxa"/>
            <w:vMerge w:val="continue"/>
            <w:vAlign w:val="center"/>
          </w:tcPr>
          <w:p>
            <w:pPr>
              <w:adjustRightInd w:val="0"/>
              <w:snapToGrid w:val="0"/>
              <w:spacing w:line="310" w:lineRule="exact"/>
              <w:jc w:val="center"/>
              <w:rPr>
                <w:rFonts w:ascii="仿宋_GB2312" w:hAnsi="仿宋_GB2312" w:eastAsia="仿宋_GB2312" w:cs="仿宋_GB2312"/>
                <w:color w:val="000000"/>
                <w:sz w:val="24"/>
                <w:szCs w:val="24"/>
              </w:rPr>
            </w:pPr>
          </w:p>
        </w:tc>
        <w:tc>
          <w:tcPr>
            <w:tcW w:w="1039" w:type="dxa"/>
            <w:vMerge w:val="continue"/>
            <w:vAlign w:val="center"/>
          </w:tcPr>
          <w:p>
            <w:pPr>
              <w:adjustRightInd w:val="0"/>
              <w:snapToGrid w:val="0"/>
              <w:spacing w:line="310" w:lineRule="exact"/>
              <w:jc w:val="center"/>
              <w:rPr>
                <w:rFonts w:ascii="仿宋_GB2312" w:hAnsi="仿宋_GB2312" w:eastAsia="仿宋_GB2312" w:cs="仿宋_GB2312"/>
                <w:color w:val="000000"/>
                <w:sz w:val="24"/>
                <w:szCs w:val="24"/>
              </w:rPr>
            </w:pPr>
          </w:p>
        </w:tc>
        <w:tc>
          <w:tcPr>
            <w:tcW w:w="1959" w:type="dxa"/>
            <w:vAlign w:val="center"/>
          </w:tcPr>
          <w:p>
            <w:pPr>
              <w:adjustRightInd w:val="0"/>
              <w:snapToGrid w:val="0"/>
              <w:spacing w:line="310" w:lineRule="exact"/>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未合理调整执行率较低的项目预算</w:t>
            </w:r>
          </w:p>
        </w:tc>
        <w:tc>
          <w:tcPr>
            <w:tcW w:w="5247" w:type="dxa"/>
            <w:vAlign w:val="center"/>
          </w:tcPr>
          <w:p>
            <w:pPr>
              <w:adjustRightInd w:val="0"/>
              <w:snapToGrid w:val="0"/>
              <w:spacing w:line="310" w:lineRule="exac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审计抽查2019年有75个预算项目的预算执行率连续2年以上低于50%，涉及单位61家、预算金额5,429.88万元，实际支出747.55万元，平均预算执行率为13.77%。市财政局在安排各单位年度预算时，也未适当核减预算执行率偏低的预算项目金额。</w:t>
            </w:r>
          </w:p>
        </w:tc>
        <w:tc>
          <w:tcPr>
            <w:tcW w:w="1721" w:type="dxa"/>
            <w:vMerge w:val="continue"/>
            <w:vAlign w:val="center"/>
          </w:tcPr>
          <w:p>
            <w:pPr>
              <w:adjustRightInd w:val="0"/>
              <w:snapToGrid w:val="0"/>
              <w:spacing w:line="310" w:lineRule="exact"/>
              <w:jc w:val="center"/>
              <w:rPr>
                <w:rFonts w:ascii="仿宋_GB2312" w:hAnsi="仿宋_GB2312" w:eastAsia="仿宋_GB2312" w:cs="仿宋_GB2312"/>
                <w:color w:val="000000"/>
                <w:sz w:val="24"/>
                <w:szCs w:val="24"/>
              </w:rPr>
            </w:pPr>
          </w:p>
        </w:tc>
        <w:tc>
          <w:tcPr>
            <w:tcW w:w="3310" w:type="dxa"/>
            <w:vMerge w:val="continue"/>
            <w:vAlign w:val="center"/>
          </w:tcPr>
          <w:p>
            <w:pPr>
              <w:adjustRightInd w:val="0"/>
              <w:snapToGrid w:val="0"/>
              <w:spacing w:line="310" w:lineRule="exact"/>
              <w:rPr>
                <w:rFonts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7" w:type="dxa"/>
            <w:vAlign w:val="center"/>
          </w:tcPr>
          <w:p>
            <w:pPr>
              <w:adjustRightInd w:val="0"/>
              <w:snapToGrid w:val="0"/>
              <w:spacing w:line="310" w:lineRule="exact"/>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w:t>
            </w:r>
          </w:p>
        </w:tc>
        <w:tc>
          <w:tcPr>
            <w:tcW w:w="970" w:type="dxa"/>
            <w:vMerge w:val="continue"/>
            <w:vAlign w:val="center"/>
          </w:tcPr>
          <w:p>
            <w:pPr>
              <w:adjustRightInd w:val="0"/>
              <w:snapToGrid w:val="0"/>
              <w:spacing w:line="310" w:lineRule="exact"/>
              <w:jc w:val="center"/>
              <w:rPr>
                <w:rFonts w:ascii="仿宋_GB2312" w:hAnsi="仿宋_GB2312" w:eastAsia="仿宋_GB2312" w:cs="仿宋_GB2312"/>
                <w:color w:val="000000"/>
                <w:sz w:val="24"/>
                <w:szCs w:val="24"/>
              </w:rPr>
            </w:pPr>
          </w:p>
        </w:tc>
        <w:tc>
          <w:tcPr>
            <w:tcW w:w="1039" w:type="dxa"/>
            <w:vMerge w:val="continue"/>
            <w:vAlign w:val="center"/>
          </w:tcPr>
          <w:p>
            <w:pPr>
              <w:adjustRightInd w:val="0"/>
              <w:snapToGrid w:val="0"/>
              <w:spacing w:line="310" w:lineRule="exact"/>
              <w:jc w:val="center"/>
              <w:rPr>
                <w:rFonts w:ascii="仿宋_GB2312" w:hAnsi="仿宋_GB2312" w:eastAsia="仿宋_GB2312" w:cs="仿宋_GB2312"/>
                <w:color w:val="000000"/>
                <w:sz w:val="24"/>
                <w:szCs w:val="24"/>
              </w:rPr>
            </w:pPr>
          </w:p>
        </w:tc>
        <w:tc>
          <w:tcPr>
            <w:tcW w:w="1959" w:type="dxa"/>
            <w:vAlign w:val="center"/>
          </w:tcPr>
          <w:p>
            <w:pPr>
              <w:adjustRightInd w:val="0"/>
              <w:snapToGrid w:val="0"/>
              <w:spacing w:line="310" w:lineRule="exact"/>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未出台政府债券专项管理办法</w:t>
            </w:r>
          </w:p>
        </w:tc>
        <w:tc>
          <w:tcPr>
            <w:tcW w:w="5247" w:type="dxa"/>
            <w:vAlign w:val="center"/>
          </w:tcPr>
          <w:p>
            <w:pPr>
              <w:adjustRightInd w:val="0"/>
              <w:snapToGrid w:val="0"/>
              <w:spacing w:line="310" w:lineRule="exac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截至2019年12月底，深圳市分别发行一般债券11亿元、专项债券303亿元，合计支出308.46亿元，支出进度98.24%。截至2020年3月底，发行专项债券160亿元，实际支出72.81亿元，支出进度45.51%。由于缺乏上级财政部门的指导意见，市财政局尚未出台政府债券专项管理办法。</w:t>
            </w:r>
          </w:p>
        </w:tc>
        <w:tc>
          <w:tcPr>
            <w:tcW w:w="1721" w:type="dxa"/>
            <w:vMerge w:val="continue"/>
            <w:vAlign w:val="center"/>
          </w:tcPr>
          <w:p>
            <w:pPr>
              <w:adjustRightInd w:val="0"/>
              <w:snapToGrid w:val="0"/>
              <w:spacing w:line="310" w:lineRule="exact"/>
              <w:jc w:val="center"/>
              <w:rPr>
                <w:rFonts w:ascii="仿宋_GB2312" w:hAnsi="仿宋_GB2312" w:eastAsia="仿宋_GB2312" w:cs="仿宋_GB2312"/>
                <w:color w:val="000000"/>
                <w:sz w:val="24"/>
                <w:szCs w:val="24"/>
              </w:rPr>
            </w:pPr>
          </w:p>
        </w:tc>
        <w:tc>
          <w:tcPr>
            <w:tcW w:w="3310" w:type="dxa"/>
            <w:vAlign w:val="center"/>
          </w:tcPr>
          <w:p>
            <w:pPr>
              <w:adjustRightInd w:val="0"/>
              <w:snapToGrid w:val="0"/>
              <w:spacing w:line="310" w:lineRule="exac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审计要求，市财政局要尽快出台政府债券专项管理办法，提高财政资金配置效率。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7" w:type="dxa"/>
            <w:vAlign w:val="center"/>
          </w:tcPr>
          <w:p>
            <w:pPr>
              <w:adjustRightInd w:val="0"/>
              <w:snapToGrid w:val="0"/>
              <w:spacing w:line="310" w:lineRule="exact"/>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4</w:t>
            </w:r>
          </w:p>
        </w:tc>
        <w:tc>
          <w:tcPr>
            <w:tcW w:w="970" w:type="dxa"/>
            <w:vMerge w:val="continue"/>
            <w:vAlign w:val="center"/>
          </w:tcPr>
          <w:p>
            <w:pPr>
              <w:adjustRightInd w:val="0"/>
              <w:snapToGrid w:val="0"/>
              <w:spacing w:line="310" w:lineRule="exact"/>
              <w:jc w:val="center"/>
              <w:rPr>
                <w:rFonts w:ascii="仿宋_GB2312" w:hAnsi="仿宋_GB2312" w:eastAsia="仿宋_GB2312" w:cs="仿宋_GB2312"/>
                <w:color w:val="000000"/>
                <w:sz w:val="24"/>
                <w:szCs w:val="24"/>
              </w:rPr>
            </w:pPr>
          </w:p>
        </w:tc>
        <w:tc>
          <w:tcPr>
            <w:tcW w:w="1039" w:type="dxa"/>
            <w:vMerge w:val="continue"/>
            <w:vAlign w:val="center"/>
          </w:tcPr>
          <w:p>
            <w:pPr>
              <w:adjustRightInd w:val="0"/>
              <w:snapToGrid w:val="0"/>
              <w:spacing w:line="310" w:lineRule="exact"/>
              <w:jc w:val="center"/>
              <w:rPr>
                <w:rFonts w:ascii="仿宋_GB2312" w:hAnsi="仿宋_GB2312" w:eastAsia="仿宋_GB2312" w:cs="仿宋_GB2312"/>
                <w:color w:val="000000"/>
                <w:sz w:val="24"/>
                <w:szCs w:val="24"/>
              </w:rPr>
            </w:pPr>
          </w:p>
        </w:tc>
        <w:tc>
          <w:tcPr>
            <w:tcW w:w="1959" w:type="dxa"/>
            <w:vAlign w:val="center"/>
          </w:tcPr>
          <w:p>
            <w:pPr>
              <w:adjustRightInd w:val="0"/>
              <w:snapToGrid w:val="0"/>
              <w:spacing w:line="310" w:lineRule="exact"/>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基础研究专项资金支出及项目管理存在不足</w:t>
            </w:r>
          </w:p>
        </w:tc>
        <w:tc>
          <w:tcPr>
            <w:tcW w:w="5247" w:type="dxa"/>
            <w:vAlign w:val="center"/>
          </w:tcPr>
          <w:p>
            <w:pPr>
              <w:adjustRightInd w:val="0"/>
              <w:snapToGrid w:val="0"/>
              <w:spacing w:line="310" w:lineRule="exac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一是部分基础研究项目支出进度缓慢。2018—2019年，由于预算编制不准确、科研机构筹建情况不理想等，2个基础研究项目支出进度缓慢，部分资金沉淀在项目单位。</w:t>
            </w:r>
          </w:p>
        </w:tc>
        <w:tc>
          <w:tcPr>
            <w:tcW w:w="1721" w:type="dxa"/>
            <w:vAlign w:val="center"/>
          </w:tcPr>
          <w:p>
            <w:pPr>
              <w:adjustRightInd w:val="0"/>
              <w:snapToGrid w:val="0"/>
              <w:spacing w:line="310" w:lineRule="exact"/>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市科技创新委</w:t>
            </w:r>
          </w:p>
        </w:tc>
        <w:tc>
          <w:tcPr>
            <w:tcW w:w="3310" w:type="dxa"/>
            <w:vAlign w:val="center"/>
          </w:tcPr>
          <w:p>
            <w:pPr>
              <w:adjustRightInd w:val="0"/>
              <w:snapToGrid w:val="0"/>
              <w:spacing w:line="310" w:lineRule="exac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审计要求，市科技创新委要做好项目储备工作，加强预算编制和执行进度监管，减少资金沉淀。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7" w:type="dxa"/>
            <w:vAlign w:val="center"/>
          </w:tcPr>
          <w:p>
            <w:pPr>
              <w:adjustRightInd w:val="0"/>
              <w:snapToGrid w:val="0"/>
              <w:spacing w:line="330" w:lineRule="exact"/>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5</w:t>
            </w:r>
          </w:p>
        </w:tc>
        <w:tc>
          <w:tcPr>
            <w:tcW w:w="970" w:type="dxa"/>
            <w:vMerge w:val="restart"/>
            <w:vAlign w:val="center"/>
          </w:tcPr>
          <w:p>
            <w:pPr>
              <w:adjustRightInd w:val="0"/>
              <w:snapToGrid w:val="0"/>
              <w:spacing w:line="330" w:lineRule="exact"/>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一、市本级全口径预算审计情况</w:t>
            </w:r>
          </w:p>
        </w:tc>
        <w:tc>
          <w:tcPr>
            <w:tcW w:w="1039" w:type="dxa"/>
            <w:vAlign w:val="center"/>
          </w:tcPr>
          <w:p>
            <w:pPr>
              <w:adjustRightInd w:val="0"/>
              <w:snapToGrid w:val="0"/>
              <w:spacing w:line="330" w:lineRule="exact"/>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（一）一般公共预算执行情况</w:t>
            </w:r>
          </w:p>
        </w:tc>
        <w:tc>
          <w:tcPr>
            <w:tcW w:w="1959" w:type="dxa"/>
            <w:vAlign w:val="center"/>
          </w:tcPr>
          <w:p>
            <w:pPr>
              <w:adjustRightInd w:val="0"/>
              <w:snapToGrid w:val="0"/>
              <w:spacing w:line="330" w:lineRule="exact"/>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基础研究资金支出及项目管理存在不足</w:t>
            </w:r>
          </w:p>
        </w:tc>
        <w:tc>
          <w:tcPr>
            <w:tcW w:w="5247" w:type="dxa"/>
            <w:vAlign w:val="center"/>
          </w:tcPr>
          <w:p>
            <w:pPr>
              <w:adjustRightInd w:val="0"/>
              <w:snapToGrid w:val="0"/>
              <w:spacing w:line="330" w:lineRule="exac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二是对科研机构使用财政资金的采购活动管理不规范。全市有84家利用国有资产设立的研究院、实验室等科研机构，由于上述机构为非预算管理单位，未能纳入市政府集中采购系统进行采购和监管，存在监管漏洞和风险隐患。2017—2019年，仅有7家机构在市政府采购中心集中采购，涉及预算金额7,874.06万元。</w:t>
            </w:r>
          </w:p>
        </w:tc>
        <w:tc>
          <w:tcPr>
            <w:tcW w:w="1721" w:type="dxa"/>
            <w:vAlign w:val="center"/>
          </w:tcPr>
          <w:p>
            <w:pPr>
              <w:adjustRightInd w:val="0"/>
              <w:snapToGrid w:val="0"/>
              <w:spacing w:line="330" w:lineRule="exact"/>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市财政局、科技创新委、政府采购中心</w:t>
            </w:r>
          </w:p>
        </w:tc>
        <w:tc>
          <w:tcPr>
            <w:tcW w:w="3310" w:type="dxa"/>
            <w:vAlign w:val="center"/>
          </w:tcPr>
          <w:p>
            <w:pPr>
              <w:adjustRightInd w:val="0"/>
              <w:snapToGrid w:val="0"/>
              <w:spacing w:line="330" w:lineRule="exac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审计要求，市财政局、科技创新委、政府采购中心等部门要建立健全规章制度，探索将科研机构使用财政资金的采购活动纳入政府集中采购监管，保障财政资金安全规范高效使用，促进新型科研机构健康发展。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7" w:type="dxa"/>
            <w:vAlign w:val="center"/>
          </w:tcPr>
          <w:p>
            <w:pPr>
              <w:adjustRightInd w:val="0"/>
              <w:snapToGrid w:val="0"/>
              <w:spacing w:line="330" w:lineRule="exact"/>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6</w:t>
            </w:r>
          </w:p>
        </w:tc>
        <w:tc>
          <w:tcPr>
            <w:tcW w:w="970" w:type="dxa"/>
            <w:vMerge w:val="continue"/>
            <w:vAlign w:val="center"/>
          </w:tcPr>
          <w:p>
            <w:pPr>
              <w:adjustRightInd w:val="0"/>
              <w:snapToGrid w:val="0"/>
              <w:spacing w:line="330" w:lineRule="exact"/>
              <w:jc w:val="center"/>
              <w:rPr>
                <w:rFonts w:ascii="仿宋_GB2312" w:hAnsi="仿宋_GB2312" w:eastAsia="仿宋_GB2312" w:cs="仿宋_GB2312"/>
                <w:color w:val="000000"/>
                <w:sz w:val="24"/>
                <w:szCs w:val="24"/>
              </w:rPr>
            </w:pPr>
          </w:p>
        </w:tc>
        <w:tc>
          <w:tcPr>
            <w:tcW w:w="1039" w:type="dxa"/>
            <w:vMerge w:val="restart"/>
            <w:vAlign w:val="center"/>
          </w:tcPr>
          <w:p>
            <w:pPr>
              <w:adjustRightInd w:val="0"/>
              <w:snapToGrid w:val="0"/>
              <w:spacing w:line="330" w:lineRule="exact"/>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（二）政府性基金预算执行情况</w:t>
            </w:r>
          </w:p>
        </w:tc>
        <w:tc>
          <w:tcPr>
            <w:tcW w:w="1959" w:type="dxa"/>
            <w:vMerge w:val="restart"/>
            <w:vAlign w:val="center"/>
          </w:tcPr>
          <w:p>
            <w:pPr>
              <w:adjustRightInd w:val="0"/>
              <w:snapToGrid w:val="0"/>
              <w:spacing w:line="330" w:lineRule="exact"/>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国有土地使用权出让收支资金管理不规范</w:t>
            </w:r>
          </w:p>
        </w:tc>
        <w:tc>
          <w:tcPr>
            <w:tcW w:w="5247" w:type="dxa"/>
            <w:vAlign w:val="center"/>
          </w:tcPr>
          <w:p>
            <w:pPr>
              <w:adjustRightInd w:val="0"/>
              <w:snapToGrid w:val="0"/>
              <w:spacing w:line="330" w:lineRule="exac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一是部分项目资金长期结转。由于周期长、未按进度及时开展和相关政策变化等，部分项目推进缓慢，项目资金长期结转。其中，3个项目资金结转超过7年，涉及金额总计132.42万元。</w:t>
            </w:r>
          </w:p>
        </w:tc>
        <w:tc>
          <w:tcPr>
            <w:tcW w:w="1721" w:type="dxa"/>
            <w:vAlign w:val="center"/>
          </w:tcPr>
          <w:p>
            <w:pPr>
              <w:adjustRightInd w:val="0"/>
              <w:snapToGrid w:val="0"/>
              <w:spacing w:line="330" w:lineRule="exact"/>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市规划和自然资源局</w:t>
            </w:r>
          </w:p>
        </w:tc>
        <w:tc>
          <w:tcPr>
            <w:tcW w:w="3310" w:type="dxa"/>
            <w:vAlign w:val="center"/>
          </w:tcPr>
          <w:p>
            <w:pPr>
              <w:adjustRightInd w:val="0"/>
              <w:snapToGrid w:val="0"/>
              <w:spacing w:line="330" w:lineRule="exac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审计要求，市规划和自然资源局定期清理项目结转资金。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7" w:type="dxa"/>
            <w:vAlign w:val="center"/>
          </w:tcPr>
          <w:p>
            <w:pPr>
              <w:adjustRightInd w:val="0"/>
              <w:snapToGrid w:val="0"/>
              <w:spacing w:line="330" w:lineRule="exact"/>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7</w:t>
            </w:r>
          </w:p>
        </w:tc>
        <w:tc>
          <w:tcPr>
            <w:tcW w:w="970" w:type="dxa"/>
            <w:vMerge w:val="continue"/>
            <w:vAlign w:val="center"/>
          </w:tcPr>
          <w:p>
            <w:pPr>
              <w:adjustRightInd w:val="0"/>
              <w:snapToGrid w:val="0"/>
              <w:spacing w:line="330" w:lineRule="exact"/>
              <w:jc w:val="center"/>
              <w:rPr>
                <w:rFonts w:ascii="仿宋_GB2312" w:hAnsi="仿宋_GB2312" w:eastAsia="仿宋_GB2312" w:cs="仿宋_GB2312"/>
                <w:color w:val="000000"/>
                <w:sz w:val="24"/>
                <w:szCs w:val="24"/>
              </w:rPr>
            </w:pPr>
          </w:p>
        </w:tc>
        <w:tc>
          <w:tcPr>
            <w:tcW w:w="1039" w:type="dxa"/>
            <w:vMerge w:val="continue"/>
            <w:vAlign w:val="center"/>
          </w:tcPr>
          <w:p>
            <w:pPr>
              <w:adjustRightInd w:val="0"/>
              <w:snapToGrid w:val="0"/>
              <w:spacing w:line="330" w:lineRule="exact"/>
              <w:jc w:val="center"/>
              <w:rPr>
                <w:rFonts w:ascii="仿宋_GB2312" w:hAnsi="仿宋_GB2312" w:eastAsia="仿宋_GB2312" w:cs="仿宋_GB2312"/>
                <w:color w:val="000000"/>
                <w:sz w:val="24"/>
                <w:szCs w:val="24"/>
              </w:rPr>
            </w:pPr>
          </w:p>
        </w:tc>
        <w:tc>
          <w:tcPr>
            <w:tcW w:w="1959" w:type="dxa"/>
            <w:vMerge w:val="continue"/>
            <w:vAlign w:val="center"/>
          </w:tcPr>
          <w:p>
            <w:pPr>
              <w:adjustRightInd w:val="0"/>
              <w:snapToGrid w:val="0"/>
              <w:spacing w:line="330" w:lineRule="exact"/>
              <w:jc w:val="center"/>
              <w:rPr>
                <w:rFonts w:ascii="仿宋_GB2312" w:hAnsi="仿宋_GB2312" w:eastAsia="仿宋_GB2312" w:cs="仿宋_GB2312"/>
                <w:color w:val="000000"/>
                <w:sz w:val="24"/>
                <w:szCs w:val="24"/>
              </w:rPr>
            </w:pPr>
          </w:p>
        </w:tc>
        <w:tc>
          <w:tcPr>
            <w:tcW w:w="5247" w:type="dxa"/>
            <w:vAlign w:val="center"/>
          </w:tcPr>
          <w:p>
            <w:pPr>
              <w:adjustRightInd w:val="0"/>
              <w:snapToGrid w:val="0"/>
              <w:spacing w:line="330" w:lineRule="exac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二是部分房屋征收项目未及时结算决算。截至2019年12月底，2017—2019年已完成补偿的33个市本级房屋征收项目中，有15个未结算决算，有4个已结算未决算。</w:t>
            </w:r>
          </w:p>
        </w:tc>
        <w:tc>
          <w:tcPr>
            <w:tcW w:w="1721" w:type="dxa"/>
            <w:vAlign w:val="center"/>
          </w:tcPr>
          <w:p>
            <w:pPr>
              <w:adjustRightInd w:val="0"/>
              <w:snapToGrid w:val="0"/>
              <w:spacing w:line="330" w:lineRule="exact"/>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福田、罗湖、盐田、宝安、龙华区政府</w:t>
            </w:r>
          </w:p>
        </w:tc>
        <w:tc>
          <w:tcPr>
            <w:tcW w:w="3310" w:type="dxa"/>
            <w:vAlign w:val="center"/>
          </w:tcPr>
          <w:p>
            <w:pPr>
              <w:adjustRightInd w:val="0"/>
              <w:snapToGrid w:val="0"/>
              <w:spacing w:line="330" w:lineRule="exac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审计要求，福田、罗湖、盐田、宝安和龙华区政府要及时开展房屋征收项目的结算和决算工作。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7" w:type="dxa"/>
            <w:vAlign w:val="center"/>
          </w:tcPr>
          <w:p>
            <w:pPr>
              <w:adjustRightInd w:val="0"/>
              <w:snapToGrid w:val="0"/>
              <w:spacing w:line="330" w:lineRule="exact"/>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8</w:t>
            </w:r>
          </w:p>
        </w:tc>
        <w:tc>
          <w:tcPr>
            <w:tcW w:w="970" w:type="dxa"/>
            <w:vMerge w:val="continue"/>
            <w:vAlign w:val="center"/>
          </w:tcPr>
          <w:p>
            <w:pPr>
              <w:adjustRightInd w:val="0"/>
              <w:snapToGrid w:val="0"/>
              <w:spacing w:line="330" w:lineRule="exact"/>
              <w:jc w:val="center"/>
              <w:rPr>
                <w:rFonts w:ascii="仿宋_GB2312" w:hAnsi="仿宋_GB2312" w:eastAsia="仿宋_GB2312" w:cs="仿宋_GB2312"/>
                <w:color w:val="000000"/>
                <w:sz w:val="24"/>
                <w:szCs w:val="24"/>
              </w:rPr>
            </w:pPr>
          </w:p>
        </w:tc>
        <w:tc>
          <w:tcPr>
            <w:tcW w:w="1039" w:type="dxa"/>
            <w:vMerge w:val="continue"/>
            <w:vAlign w:val="center"/>
          </w:tcPr>
          <w:p>
            <w:pPr>
              <w:adjustRightInd w:val="0"/>
              <w:snapToGrid w:val="0"/>
              <w:spacing w:line="330" w:lineRule="exact"/>
              <w:jc w:val="center"/>
              <w:rPr>
                <w:rFonts w:ascii="仿宋_GB2312" w:hAnsi="仿宋_GB2312" w:eastAsia="仿宋_GB2312" w:cs="仿宋_GB2312"/>
                <w:color w:val="000000"/>
                <w:sz w:val="24"/>
                <w:szCs w:val="24"/>
              </w:rPr>
            </w:pPr>
          </w:p>
        </w:tc>
        <w:tc>
          <w:tcPr>
            <w:tcW w:w="1959" w:type="dxa"/>
            <w:vAlign w:val="center"/>
          </w:tcPr>
          <w:p>
            <w:pPr>
              <w:adjustRightInd w:val="0"/>
              <w:snapToGrid w:val="0"/>
              <w:spacing w:line="330" w:lineRule="exact"/>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部分产业用地和储备土地管理不到位</w:t>
            </w:r>
          </w:p>
        </w:tc>
        <w:tc>
          <w:tcPr>
            <w:tcW w:w="5247" w:type="dxa"/>
            <w:vAlign w:val="center"/>
          </w:tcPr>
          <w:p>
            <w:pPr>
              <w:adjustRightInd w:val="0"/>
              <w:snapToGrid w:val="0"/>
              <w:spacing w:line="330" w:lineRule="exac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一是产业用地供应后监管不规范。2011—2018年，全市招拍挂出让的255宗产业用地中，有45宗未签订产业用地发展协议，导致后续监管工作缺乏依据，不利于规范产业用地的开发建设和使用。龙岗区政府54个已签订产业发展协议的地块中，有21个已办理竣工验收，但2019年7月才签定重大项目产业发展监管核验服务合同，截至2020年4月底，未形成核验报告，未完成监管核查工作。</w:t>
            </w:r>
          </w:p>
        </w:tc>
        <w:tc>
          <w:tcPr>
            <w:tcW w:w="1721" w:type="dxa"/>
            <w:vAlign w:val="center"/>
          </w:tcPr>
          <w:p>
            <w:pPr>
              <w:adjustRightInd w:val="0"/>
              <w:snapToGrid w:val="0"/>
              <w:spacing w:line="330" w:lineRule="exact"/>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福田、宝安、龙岗、龙华、坪山区政府</w:t>
            </w:r>
          </w:p>
        </w:tc>
        <w:tc>
          <w:tcPr>
            <w:tcW w:w="3310" w:type="dxa"/>
            <w:vAlign w:val="center"/>
          </w:tcPr>
          <w:p>
            <w:pPr>
              <w:adjustRightInd w:val="0"/>
              <w:snapToGrid w:val="0"/>
              <w:spacing w:line="330" w:lineRule="exac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审计要求，福田、宝安、龙岗、龙华和坪山区政府要切实履行产业发展监管责任，完善产业用地供应后监管，对未达约定要求的进行处理处罚。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7" w:type="dxa"/>
            <w:vAlign w:val="center"/>
          </w:tcPr>
          <w:p>
            <w:pPr>
              <w:adjustRightInd w:val="0"/>
              <w:snapToGrid w:val="0"/>
              <w:spacing w:line="350" w:lineRule="exact"/>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9</w:t>
            </w:r>
          </w:p>
        </w:tc>
        <w:tc>
          <w:tcPr>
            <w:tcW w:w="970" w:type="dxa"/>
            <w:vMerge w:val="restart"/>
            <w:vAlign w:val="center"/>
          </w:tcPr>
          <w:p>
            <w:pPr>
              <w:adjustRightInd w:val="0"/>
              <w:snapToGrid w:val="0"/>
              <w:spacing w:line="350" w:lineRule="exact"/>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一、市本级全口径预算审计情况</w:t>
            </w:r>
          </w:p>
        </w:tc>
        <w:tc>
          <w:tcPr>
            <w:tcW w:w="1039" w:type="dxa"/>
            <w:vAlign w:val="center"/>
          </w:tcPr>
          <w:p>
            <w:pPr>
              <w:adjustRightInd w:val="0"/>
              <w:snapToGrid w:val="0"/>
              <w:spacing w:line="350" w:lineRule="exact"/>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（二）政府性基金预算执行情况</w:t>
            </w:r>
          </w:p>
        </w:tc>
        <w:tc>
          <w:tcPr>
            <w:tcW w:w="1959" w:type="dxa"/>
            <w:vAlign w:val="center"/>
          </w:tcPr>
          <w:p>
            <w:pPr>
              <w:adjustRightInd w:val="0"/>
              <w:snapToGrid w:val="0"/>
              <w:spacing w:line="350" w:lineRule="exact"/>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部分产业用地和储备土地管理不到位</w:t>
            </w:r>
          </w:p>
        </w:tc>
        <w:tc>
          <w:tcPr>
            <w:tcW w:w="5247" w:type="dxa"/>
            <w:vAlign w:val="center"/>
          </w:tcPr>
          <w:p>
            <w:pPr>
              <w:adjustRightInd w:val="0"/>
              <w:snapToGrid w:val="0"/>
              <w:spacing w:line="350" w:lineRule="exac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二是储备土地管理政策不完善，执行不到位。由于市土地储备中心未对非经营性储备土地的出入库流程出台规范性指引，各区（新区）出入库流程不一致。南山、光明、坪山区政府和大鹏新区管委会由辖区相关单位自行移交，未经市土地储备中心办理入库手续，不符合全市储备土地统一储备、统一管理的要求。全市共有31宗储备土地未完善用地手续被占用，面积约36.93万平方米。4宗储备土地存在新增违法占用的情况，面积约0.35万平方米。</w:t>
            </w:r>
          </w:p>
        </w:tc>
        <w:tc>
          <w:tcPr>
            <w:tcW w:w="1721" w:type="dxa"/>
            <w:vAlign w:val="center"/>
          </w:tcPr>
          <w:p>
            <w:pPr>
              <w:adjustRightInd w:val="0"/>
              <w:snapToGrid w:val="0"/>
              <w:spacing w:line="350" w:lineRule="exact"/>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市规划和自然资源局，福田、罗湖、盐田、宝安、龙岗、龙华、坪山区政府，大鹏新区管委会</w:t>
            </w:r>
          </w:p>
        </w:tc>
        <w:tc>
          <w:tcPr>
            <w:tcW w:w="3310" w:type="dxa"/>
            <w:vAlign w:val="center"/>
          </w:tcPr>
          <w:p>
            <w:pPr>
              <w:adjustRightInd w:val="0"/>
              <w:snapToGrid w:val="0"/>
              <w:spacing w:line="350" w:lineRule="exac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审计指出问题后，宝安区政府已清理被违法占用土地。审计要求，市规划和自然资源局要督促市土地储备中心加快出台储备土地管理与监管工作指引，明确主体和流程。福田、罗湖、盐田、宝安、龙岗、龙华、坪山区政府和大鹏新区管委会要及时查处违法占用储备土地的情况，完善合法用地手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7" w:type="dxa"/>
            <w:vAlign w:val="center"/>
          </w:tcPr>
          <w:p>
            <w:pPr>
              <w:adjustRightInd w:val="0"/>
              <w:snapToGrid w:val="0"/>
              <w:spacing w:line="350" w:lineRule="exact"/>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10</w:t>
            </w:r>
          </w:p>
        </w:tc>
        <w:tc>
          <w:tcPr>
            <w:tcW w:w="970" w:type="dxa"/>
            <w:vMerge w:val="continue"/>
            <w:vAlign w:val="center"/>
          </w:tcPr>
          <w:p>
            <w:pPr>
              <w:adjustRightInd w:val="0"/>
              <w:snapToGrid w:val="0"/>
              <w:spacing w:line="350" w:lineRule="exact"/>
              <w:jc w:val="center"/>
              <w:rPr>
                <w:rFonts w:ascii="仿宋_GB2312" w:hAnsi="仿宋_GB2312" w:eastAsia="仿宋_GB2312" w:cs="仿宋_GB2312"/>
                <w:color w:val="000000"/>
                <w:sz w:val="24"/>
                <w:szCs w:val="24"/>
              </w:rPr>
            </w:pPr>
          </w:p>
        </w:tc>
        <w:tc>
          <w:tcPr>
            <w:tcW w:w="1039" w:type="dxa"/>
            <w:vMerge w:val="restart"/>
            <w:vAlign w:val="center"/>
          </w:tcPr>
          <w:p>
            <w:pPr>
              <w:adjustRightInd w:val="0"/>
              <w:snapToGrid w:val="0"/>
              <w:spacing w:line="350" w:lineRule="exact"/>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（三）国有资本经营预算执行情况</w:t>
            </w:r>
          </w:p>
        </w:tc>
        <w:tc>
          <w:tcPr>
            <w:tcW w:w="1959" w:type="dxa"/>
            <w:vAlign w:val="center"/>
          </w:tcPr>
          <w:p>
            <w:pPr>
              <w:adjustRightInd w:val="0"/>
              <w:snapToGrid w:val="0"/>
              <w:spacing w:line="350" w:lineRule="exact"/>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租赁信息平台系统信息未及时维护</w:t>
            </w:r>
          </w:p>
        </w:tc>
        <w:tc>
          <w:tcPr>
            <w:tcW w:w="5247" w:type="dxa"/>
            <w:vAlign w:val="center"/>
          </w:tcPr>
          <w:p>
            <w:pPr>
              <w:adjustRightInd w:val="0"/>
              <w:snapToGrid w:val="0"/>
              <w:spacing w:line="350" w:lineRule="exac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租赁信息平台系统显示2016—2019年到期的租赁合同信息1625条，但截至2020年5月底，上述合同仍显示为生效状态。该系统显示2020年处于有效期的合同信息为12448条，有部分租赁信息未在系统上登记。</w:t>
            </w:r>
          </w:p>
        </w:tc>
        <w:tc>
          <w:tcPr>
            <w:tcW w:w="1721" w:type="dxa"/>
            <w:vMerge w:val="restart"/>
            <w:vAlign w:val="center"/>
          </w:tcPr>
          <w:p>
            <w:pPr>
              <w:adjustRightInd w:val="0"/>
              <w:snapToGrid w:val="0"/>
              <w:spacing w:line="350" w:lineRule="exact"/>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市国资委</w:t>
            </w:r>
          </w:p>
        </w:tc>
        <w:tc>
          <w:tcPr>
            <w:tcW w:w="3310" w:type="dxa"/>
            <w:vMerge w:val="restart"/>
            <w:vAlign w:val="center"/>
          </w:tcPr>
          <w:p>
            <w:pPr>
              <w:adjustRightInd w:val="0"/>
              <w:snapToGrid w:val="0"/>
              <w:spacing w:line="350" w:lineRule="exac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审计指出问题后，市国资委督促企业补充录入有效合同信息27675条。审计要求，市国资委要完善租赁信息平台系统管理，建立统一的投资数据信息系统，将数据质量纳入企业负责人经营业绩考核体系。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7" w:type="dxa"/>
            <w:vAlign w:val="center"/>
          </w:tcPr>
          <w:p>
            <w:pPr>
              <w:adjustRightInd w:val="0"/>
              <w:snapToGrid w:val="0"/>
              <w:spacing w:line="350" w:lineRule="exact"/>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11</w:t>
            </w:r>
          </w:p>
        </w:tc>
        <w:tc>
          <w:tcPr>
            <w:tcW w:w="970" w:type="dxa"/>
            <w:vMerge w:val="continue"/>
            <w:vAlign w:val="center"/>
          </w:tcPr>
          <w:p>
            <w:pPr>
              <w:adjustRightInd w:val="0"/>
              <w:snapToGrid w:val="0"/>
              <w:spacing w:line="350" w:lineRule="exact"/>
              <w:jc w:val="center"/>
              <w:rPr>
                <w:rFonts w:ascii="仿宋_GB2312" w:hAnsi="仿宋_GB2312" w:eastAsia="仿宋_GB2312" w:cs="仿宋_GB2312"/>
                <w:color w:val="000000"/>
                <w:sz w:val="24"/>
                <w:szCs w:val="24"/>
              </w:rPr>
            </w:pPr>
          </w:p>
        </w:tc>
        <w:tc>
          <w:tcPr>
            <w:tcW w:w="1039" w:type="dxa"/>
            <w:vMerge w:val="continue"/>
            <w:vAlign w:val="center"/>
          </w:tcPr>
          <w:p>
            <w:pPr>
              <w:adjustRightInd w:val="0"/>
              <w:snapToGrid w:val="0"/>
              <w:spacing w:line="350" w:lineRule="exact"/>
              <w:jc w:val="center"/>
              <w:rPr>
                <w:rFonts w:ascii="仿宋_GB2312" w:hAnsi="仿宋_GB2312" w:eastAsia="仿宋_GB2312" w:cs="仿宋_GB2312"/>
                <w:color w:val="000000"/>
                <w:sz w:val="24"/>
                <w:szCs w:val="24"/>
              </w:rPr>
            </w:pPr>
          </w:p>
        </w:tc>
        <w:tc>
          <w:tcPr>
            <w:tcW w:w="1959" w:type="dxa"/>
            <w:vAlign w:val="center"/>
          </w:tcPr>
          <w:p>
            <w:pPr>
              <w:adjustRightInd w:val="0"/>
              <w:snapToGrid w:val="0"/>
              <w:spacing w:line="350" w:lineRule="exact"/>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异地投资信息化管理亟待加强</w:t>
            </w:r>
          </w:p>
        </w:tc>
        <w:tc>
          <w:tcPr>
            <w:tcW w:w="5247" w:type="dxa"/>
            <w:vAlign w:val="center"/>
          </w:tcPr>
          <w:p>
            <w:pPr>
              <w:adjustRightInd w:val="0"/>
              <w:snapToGrid w:val="0"/>
              <w:spacing w:line="350" w:lineRule="exac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截至2019年12月底，6家市属国企共有异地企业452家，资产总额约2,100亿元。由于异地企业地域分布范围广，涉及行业领域多，较多企业为前期整合或转企划转的，未形成打通管理、财务、内审等部门的异地投资数据信息系统，市属国企存在企业数量漏记、信息不全等问题，不利于及时了解企业经营动态，以及监管企业和投资项目。</w:t>
            </w:r>
          </w:p>
        </w:tc>
        <w:tc>
          <w:tcPr>
            <w:tcW w:w="1721" w:type="dxa"/>
            <w:vMerge w:val="continue"/>
            <w:vAlign w:val="center"/>
          </w:tcPr>
          <w:p>
            <w:pPr>
              <w:adjustRightInd w:val="0"/>
              <w:snapToGrid w:val="0"/>
              <w:spacing w:line="350" w:lineRule="exact"/>
              <w:jc w:val="center"/>
              <w:rPr>
                <w:rFonts w:ascii="仿宋_GB2312" w:hAnsi="仿宋_GB2312" w:eastAsia="仿宋_GB2312" w:cs="仿宋_GB2312"/>
                <w:color w:val="000000"/>
                <w:sz w:val="24"/>
                <w:szCs w:val="24"/>
              </w:rPr>
            </w:pPr>
          </w:p>
        </w:tc>
        <w:tc>
          <w:tcPr>
            <w:tcW w:w="3310" w:type="dxa"/>
            <w:vMerge w:val="continue"/>
            <w:vAlign w:val="center"/>
          </w:tcPr>
          <w:p>
            <w:pPr>
              <w:adjustRightInd w:val="0"/>
              <w:snapToGrid w:val="0"/>
              <w:spacing w:line="350" w:lineRule="exact"/>
              <w:rPr>
                <w:rFonts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7" w:type="dxa"/>
            <w:vAlign w:val="center"/>
          </w:tcPr>
          <w:p>
            <w:pPr>
              <w:adjustRightInd w:val="0"/>
              <w:snapToGrid w:val="0"/>
              <w:spacing w:line="330" w:lineRule="exact"/>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12</w:t>
            </w:r>
          </w:p>
        </w:tc>
        <w:tc>
          <w:tcPr>
            <w:tcW w:w="970" w:type="dxa"/>
            <w:vMerge w:val="restart"/>
            <w:vAlign w:val="center"/>
          </w:tcPr>
          <w:p>
            <w:pPr>
              <w:adjustRightInd w:val="0"/>
              <w:snapToGrid w:val="0"/>
              <w:spacing w:line="330" w:lineRule="exact"/>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一、市本级全口径预算审计情况</w:t>
            </w:r>
          </w:p>
        </w:tc>
        <w:tc>
          <w:tcPr>
            <w:tcW w:w="1039" w:type="dxa"/>
            <w:vAlign w:val="center"/>
          </w:tcPr>
          <w:p>
            <w:pPr>
              <w:adjustRightInd w:val="0"/>
              <w:snapToGrid w:val="0"/>
              <w:spacing w:line="330" w:lineRule="exact"/>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（三）国有资本经营预算执行情况</w:t>
            </w:r>
          </w:p>
        </w:tc>
        <w:tc>
          <w:tcPr>
            <w:tcW w:w="1959" w:type="dxa"/>
            <w:vAlign w:val="center"/>
          </w:tcPr>
          <w:p>
            <w:pPr>
              <w:adjustRightInd w:val="0"/>
              <w:snapToGrid w:val="0"/>
              <w:spacing w:line="330" w:lineRule="exact"/>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个别企业主体功能发挥不足</w:t>
            </w:r>
          </w:p>
        </w:tc>
        <w:tc>
          <w:tcPr>
            <w:tcW w:w="5247" w:type="dxa"/>
            <w:vAlign w:val="center"/>
          </w:tcPr>
          <w:p>
            <w:pPr>
              <w:adjustRightInd w:val="0"/>
              <w:snapToGrid w:val="0"/>
              <w:spacing w:line="330" w:lineRule="exac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审计重点关注了6家市属国企运营管理情况，其中1家以推动市属国资国企改革和转型创新发展为目标而成立的企业，在实际运作时与政策目标有差距，投入大额资金用于商业类项目投资，服务国资国企改革主体功能发挥不足。</w:t>
            </w:r>
          </w:p>
        </w:tc>
        <w:tc>
          <w:tcPr>
            <w:tcW w:w="1721" w:type="dxa"/>
            <w:vAlign w:val="center"/>
          </w:tcPr>
          <w:p>
            <w:pPr>
              <w:adjustRightInd w:val="0"/>
              <w:snapToGrid w:val="0"/>
              <w:spacing w:line="330" w:lineRule="exact"/>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鲲鹏公司</w:t>
            </w:r>
          </w:p>
        </w:tc>
        <w:tc>
          <w:tcPr>
            <w:tcW w:w="3310" w:type="dxa"/>
            <w:vAlign w:val="center"/>
          </w:tcPr>
          <w:p>
            <w:pPr>
              <w:adjustRightInd w:val="0"/>
              <w:snapToGrid w:val="0"/>
              <w:spacing w:line="330" w:lineRule="exac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审计要求，有关企业要围绕业务的功能定位，认真分析解决存在问题, 着力增强服务国资国企改革的功能，为优化国有资本布局、推进国有企业改革发展提供支持。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7" w:type="dxa"/>
            <w:vAlign w:val="center"/>
          </w:tcPr>
          <w:p>
            <w:pPr>
              <w:adjustRightInd w:val="0"/>
              <w:snapToGrid w:val="0"/>
              <w:spacing w:line="330" w:lineRule="exact"/>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13</w:t>
            </w:r>
          </w:p>
        </w:tc>
        <w:tc>
          <w:tcPr>
            <w:tcW w:w="970" w:type="dxa"/>
            <w:vMerge w:val="continue"/>
            <w:vAlign w:val="center"/>
          </w:tcPr>
          <w:p>
            <w:pPr>
              <w:adjustRightInd w:val="0"/>
              <w:snapToGrid w:val="0"/>
              <w:spacing w:line="330" w:lineRule="exact"/>
              <w:jc w:val="center"/>
              <w:rPr>
                <w:rFonts w:ascii="仿宋_GB2312" w:hAnsi="仿宋_GB2312" w:eastAsia="仿宋_GB2312" w:cs="仿宋_GB2312"/>
                <w:color w:val="000000"/>
                <w:sz w:val="24"/>
                <w:szCs w:val="24"/>
              </w:rPr>
            </w:pPr>
          </w:p>
        </w:tc>
        <w:tc>
          <w:tcPr>
            <w:tcW w:w="1039" w:type="dxa"/>
            <w:vMerge w:val="restart"/>
            <w:vAlign w:val="center"/>
          </w:tcPr>
          <w:p>
            <w:pPr>
              <w:adjustRightInd w:val="0"/>
              <w:snapToGrid w:val="0"/>
              <w:spacing w:line="330" w:lineRule="exact"/>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（四）社保基金预算执行情况</w:t>
            </w:r>
          </w:p>
        </w:tc>
        <w:tc>
          <w:tcPr>
            <w:tcW w:w="1959" w:type="dxa"/>
            <w:vMerge w:val="restart"/>
            <w:vAlign w:val="center"/>
          </w:tcPr>
          <w:p>
            <w:pPr>
              <w:adjustRightInd w:val="0"/>
              <w:snapToGrid w:val="0"/>
              <w:spacing w:line="330" w:lineRule="exact"/>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部分项目预算编制不科学</w:t>
            </w:r>
          </w:p>
        </w:tc>
        <w:tc>
          <w:tcPr>
            <w:tcW w:w="5247" w:type="dxa"/>
            <w:vAlign w:val="center"/>
          </w:tcPr>
          <w:p>
            <w:pPr>
              <w:adjustRightInd w:val="0"/>
              <w:snapToGrid w:val="0"/>
              <w:spacing w:line="330" w:lineRule="exac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一是个别项目连续两年预算执行率低。审计已于2019年指出地方补充医疗保险待遇项目2018年度预算执行率偏低，但医保部门编制2019年预算时，仍未充分考虑相关因素，导致该项目连续2年预算执行率低，2018年、2019年分别为66.56%、76.07%。</w:t>
            </w:r>
          </w:p>
        </w:tc>
        <w:tc>
          <w:tcPr>
            <w:tcW w:w="1721" w:type="dxa"/>
            <w:vMerge w:val="restart"/>
            <w:vAlign w:val="center"/>
          </w:tcPr>
          <w:p>
            <w:pPr>
              <w:adjustRightInd w:val="0"/>
              <w:snapToGrid w:val="0"/>
              <w:spacing w:line="330" w:lineRule="exact"/>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市医保局</w:t>
            </w:r>
          </w:p>
        </w:tc>
        <w:tc>
          <w:tcPr>
            <w:tcW w:w="3310" w:type="dxa"/>
            <w:vMerge w:val="restart"/>
            <w:vAlign w:val="center"/>
          </w:tcPr>
          <w:p>
            <w:pPr>
              <w:adjustRightInd w:val="0"/>
              <w:snapToGrid w:val="0"/>
              <w:spacing w:line="330" w:lineRule="exac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审计要求，市医保局在编制医疗保险基金预算时，要充分考虑政策调整因素、实际资金需求及上年度预算执行情况。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7" w:type="dxa"/>
            <w:vAlign w:val="center"/>
          </w:tcPr>
          <w:p>
            <w:pPr>
              <w:adjustRightInd w:val="0"/>
              <w:snapToGrid w:val="0"/>
              <w:spacing w:line="330" w:lineRule="exact"/>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14</w:t>
            </w:r>
          </w:p>
        </w:tc>
        <w:tc>
          <w:tcPr>
            <w:tcW w:w="970" w:type="dxa"/>
            <w:vMerge w:val="continue"/>
            <w:vAlign w:val="center"/>
          </w:tcPr>
          <w:p>
            <w:pPr>
              <w:adjustRightInd w:val="0"/>
              <w:snapToGrid w:val="0"/>
              <w:spacing w:line="330" w:lineRule="exact"/>
              <w:jc w:val="center"/>
              <w:rPr>
                <w:rFonts w:ascii="仿宋_GB2312" w:hAnsi="仿宋_GB2312" w:eastAsia="仿宋_GB2312" w:cs="仿宋_GB2312"/>
                <w:color w:val="000000"/>
                <w:sz w:val="24"/>
                <w:szCs w:val="24"/>
              </w:rPr>
            </w:pPr>
          </w:p>
        </w:tc>
        <w:tc>
          <w:tcPr>
            <w:tcW w:w="1039" w:type="dxa"/>
            <w:vMerge w:val="continue"/>
            <w:vAlign w:val="center"/>
          </w:tcPr>
          <w:p>
            <w:pPr>
              <w:adjustRightInd w:val="0"/>
              <w:snapToGrid w:val="0"/>
              <w:spacing w:line="330" w:lineRule="exact"/>
              <w:jc w:val="center"/>
              <w:rPr>
                <w:rFonts w:ascii="仿宋_GB2312" w:hAnsi="仿宋_GB2312" w:eastAsia="仿宋_GB2312" w:cs="仿宋_GB2312"/>
                <w:color w:val="000000"/>
                <w:sz w:val="24"/>
                <w:szCs w:val="24"/>
              </w:rPr>
            </w:pPr>
          </w:p>
        </w:tc>
        <w:tc>
          <w:tcPr>
            <w:tcW w:w="1959" w:type="dxa"/>
            <w:vMerge w:val="continue"/>
            <w:vAlign w:val="center"/>
          </w:tcPr>
          <w:p>
            <w:pPr>
              <w:adjustRightInd w:val="0"/>
              <w:snapToGrid w:val="0"/>
              <w:spacing w:line="330" w:lineRule="exact"/>
              <w:jc w:val="center"/>
              <w:rPr>
                <w:rFonts w:ascii="仿宋_GB2312" w:hAnsi="仿宋_GB2312" w:eastAsia="仿宋_GB2312" w:cs="仿宋_GB2312"/>
                <w:color w:val="000000"/>
                <w:sz w:val="24"/>
                <w:szCs w:val="24"/>
              </w:rPr>
            </w:pPr>
          </w:p>
        </w:tc>
        <w:tc>
          <w:tcPr>
            <w:tcW w:w="5247" w:type="dxa"/>
            <w:vAlign w:val="center"/>
          </w:tcPr>
          <w:p>
            <w:pPr>
              <w:adjustRightInd w:val="0"/>
              <w:snapToGrid w:val="0"/>
              <w:spacing w:line="330" w:lineRule="exac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二是个别项目支出超预算。由于医保部门对支出预算编制不够准确，以及市医保局2019年清算拨付了2017年、2018年的费用，导致职工基本医疗保险基金支出中的其他支出超预算，预算执行率为161.33%。</w:t>
            </w:r>
          </w:p>
        </w:tc>
        <w:tc>
          <w:tcPr>
            <w:tcW w:w="1721" w:type="dxa"/>
            <w:vMerge w:val="continue"/>
            <w:vAlign w:val="center"/>
          </w:tcPr>
          <w:p>
            <w:pPr>
              <w:adjustRightInd w:val="0"/>
              <w:snapToGrid w:val="0"/>
              <w:spacing w:line="330" w:lineRule="exact"/>
              <w:jc w:val="center"/>
              <w:rPr>
                <w:rFonts w:ascii="仿宋_GB2312" w:hAnsi="仿宋_GB2312" w:eastAsia="仿宋_GB2312" w:cs="仿宋_GB2312"/>
                <w:color w:val="000000"/>
                <w:sz w:val="24"/>
                <w:szCs w:val="24"/>
              </w:rPr>
            </w:pPr>
          </w:p>
        </w:tc>
        <w:tc>
          <w:tcPr>
            <w:tcW w:w="3310" w:type="dxa"/>
            <w:vMerge w:val="continue"/>
            <w:vAlign w:val="center"/>
          </w:tcPr>
          <w:p>
            <w:pPr>
              <w:adjustRightInd w:val="0"/>
              <w:snapToGrid w:val="0"/>
              <w:spacing w:line="330" w:lineRule="exact"/>
              <w:rPr>
                <w:rFonts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7" w:type="dxa"/>
            <w:vAlign w:val="center"/>
          </w:tcPr>
          <w:p>
            <w:pPr>
              <w:adjustRightInd w:val="0"/>
              <w:snapToGrid w:val="0"/>
              <w:spacing w:line="330" w:lineRule="exact"/>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15</w:t>
            </w:r>
          </w:p>
        </w:tc>
        <w:tc>
          <w:tcPr>
            <w:tcW w:w="970" w:type="dxa"/>
            <w:vAlign w:val="center"/>
          </w:tcPr>
          <w:p>
            <w:pPr>
              <w:adjustRightInd w:val="0"/>
              <w:snapToGrid w:val="0"/>
              <w:spacing w:line="330" w:lineRule="exact"/>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二、部门预算执行审计情况</w:t>
            </w:r>
          </w:p>
        </w:tc>
        <w:tc>
          <w:tcPr>
            <w:tcW w:w="1039" w:type="dxa"/>
            <w:vAlign w:val="center"/>
          </w:tcPr>
          <w:p>
            <w:pPr>
              <w:adjustRightInd w:val="0"/>
              <w:snapToGrid w:val="0"/>
              <w:spacing w:line="330" w:lineRule="exact"/>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（一）未收缴企业化管理事业单位的国有资本收益</w:t>
            </w:r>
          </w:p>
        </w:tc>
        <w:tc>
          <w:tcPr>
            <w:tcW w:w="1959" w:type="dxa"/>
            <w:vAlign w:val="center"/>
          </w:tcPr>
          <w:p>
            <w:pPr>
              <w:adjustRightInd w:val="0"/>
              <w:snapToGrid w:val="0"/>
              <w:spacing w:line="330" w:lineRule="exact"/>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未收缴企业化管理事业单位的国有资本收益</w:t>
            </w:r>
          </w:p>
        </w:tc>
        <w:tc>
          <w:tcPr>
            <w:tcW w:w="5247" w:type="dxa"/>
            <w:vAlign w:val="center"/>
          </w:tcPr>
          <w:p>
            <w:pPr>
              <w:adjustRightInd w:val="0"/>
              <w:snapToGrid w:val="0"/>
              <w:spacing w:line="330" w:lineRule="exac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深圳市企业化管理事业单位国有资本与财务管理暂行办法》（深财企〔2004〕11号）已于2015年失效，市财政局未进行修订，也未规定企业化管理事业单位等国有资本收益的上缴程序及比例。2015—2019年，市财政局收缴了部分企业化管理事业单位的2016—2017年利润。</w:t>
            </w:r>
          </w:p>
        </w:tc>
        <w:tc>
          <w:tcPr>
            <w:tcW w:w="1721" w:type="dxa"/>
            <w:vAlign w:val="center"/>
          </w:tcPr>
          <w:p>
            <w:pPr>
              <w:adjustRightInd w:val="0"/>
              <w:snapToGrid w:val="0"/>
              <w:spacing w:line="330" w:lineRule="exact"/>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市财政局</w:t>
            </w:r>
          </w:p>
        </w:tc>
        <w:tc>
          <w:tcPr>
            <w:tcW w:w="3310" w:type="dxa"/>
            <w:vAlign w:val="center"/>
          </w:tcPr>
          <w:p>
            <w:pPr>
              <w:adjustRightInd w:val="0"/>
              <w:snapToGrid w:val="0"/>
              <w:spacing w:line="330" w:lineRule="exac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审计要求，市财政局要完善对企业化管理事业单位等的监管制度，明确收缴程序和比例，按期收缴国有资本收益。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7" w:type="dxa"/>
            <w:vAlign w:val="center"/>
          </w:tcPr>
          <w:p>
            <w:pPr>
              <w:adjustRightInd w:val="0"/>
              <w:snapToGrid w:val="0"/>
              <w:spacing w:line="320" w:lineRule="exact"/>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16</w:t>
            </w:r>
          </w:p>
        </w:tc>
        <w:tc>
          <w:tcPr>
            <w:tcW w:w="970" w:type="dxa"/>
            <w:vMerge w:val="restart"/>
            <w:vAlign w:val="center"/>
          </w:tcPr>
          <w:p>
            <w:pPr>
              <w:adjustRightInd w:val="0"/>
              <w:snapToGrid w:val="0"/>
              <w:spacing w:line="320" w:lineRule="exact"/>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二、部门预算执行审计情况</w:t>
            </w:r>
          </w:p>
        </w:tc>
        <w:tc>
          <w:tcPr>
            <w:tcW w:w="1039" w:type="dxa"/>
            <w:vMerge w:val="restart"/>
            <w:vAlign w:val="center"/>
          </w:tcPr>
          <w:p>
            <w:pPr>
              <w:adjustRightInd w:val="0"/>
              <w:snapToGrid w:val="0"/>
              <w:spacing w:line="320" w:lineRule="exact"/>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（二）部分单位预算编制执行不够规范</w:t>
            </w:r>
          </w:p>
        </w:tc>
        <w:tc>
          <w:tcPr>
            <w:tcW w:w="1959" w:type="dxa"/>
            <w:vAlign w:val="center"/>
          </w:tcPr>
          <w:p>
            <w:pPr>
              <w:adjustRightInd w:val="0"/>
              <w:snapToGrid w:val="0"/>
              <w:spacing w:line="320" w:lineRule="exact"/>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部分预算项目执行率较低</w:t>
            </w:r>
          </w:p>
        </w:tc>
        <w:tc>
          <w:tcPr>
            <w:tcW w:w="5247" w:type="dxa"/>
            <w:vAlign w:val="center"/>
          </w:tcPr>
          <w:p>
            <w:pPr>
              <w:adjustRightInd w:val="0"/>
              <w:snapToGrid w:val="0"/>
              <w:spacing w:line="320" w:lineRule="exac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由于准备不到位、未充分考虑实际和不具备执行条件等，15个部门的44个预算项目执行率低于50%，涉及未执行预算金额3,835.12万元。</w:t>
            </w:r>
          </w:p>
        </w:tc>
        <w:tc>
          <w:tcPr>
            <w:tcW w:w="1721" w:type="dxa"/>
            <w:vAlign w:val="center"/>
          </w:tcPr>
          <w:p>
            <w:pPr>
              <w:adjustRightInd w:val="0"/>
              <w:snapToGrid w:val="0"/>
              <w:spacing w:line="320" w:lineRule="exact"/>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市发展改革委、教育局、科技创新委、公安局交通警察局、财政局、交通运输局、文化广电旅游体育局、城管和综合执法局、口岸办、住房保障署，市政府驻京办、市</w:t>
            </w:r>
            <w:bookmarkStart w:id="0" w:name="_GoBack"/>
            <w:bookmarkEnd w:id="0"/>
            <w:r>
              <w:rPr>
                <w:rFonts w:hint="eastAsia" w:ascii="仿宋_GB2312" w:hAnsi="仿宋_GB2312" w:eastAsia="仿宋_GB2312" w:cs="仿宋_GB2312"/>
                <w:color w:val="000000"/>
                <w:sz w:val="24"/>
                <w:szCs w:val="24"/>
                <w:lang w:eastAsia="zh-CN"/>
              </w:rPr>
              <w:t>中级人民法院</w:t>
            </w:r>
            <w:r>
              <w:rPr>
                <w:rFonts w:hint="eastAsia" w:ascii="仿宋_GB2312" w:hAnsi="仿宋_GB2312" w:eastAsia="仿宋_GB2312" w:cs="仿宋_GB2312"/>
                <w:color w:val="000000"/>
                <w:sz w:val="24"/>
                <w:szCs w:val="24"/>
              </w:rPr>
              <w:t>、市残联、市社科院、福田区法院</w:t>
            </w:r>
          </w:p>
        </w:tc>
        <w:tc>
          <w:tcPr>
            <w:tcW w:w="3310" w:type="dxa"/>
            <w:vAlign w:val="center"/>
          </w:tcPr>
          <w:p>
            <w:pPr>
              <w:adjustRightInd w:val="0"/>
              <w:snapToGrid w:val="0"/>
              <w:spacing w:line="320" w:lineRule="exac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审计要求，各有关部门要认真履行主体责任，完善预算编制和执行管理。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7" w:type="dxa"/>
            <w:vAlign w:val="center"/>
          </w:tcPr>
          <w:p>
            <w:pPr>
              <w:adjustRightInd w:val="0"/>
              <w:snapToGrid w:val="0"/>
              <w:spacing w:line="320" w:lineRule="exact"/>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17</w:t>
            </w:r>
          </w:p>
        </w:tc>
        <w:tc>
          <w:tcPr>
            <w:tcW w:w="970" w:type="dxa"/>
            <w:vMerge w:val="continue"/>
            <w:vAlign w:val="center"/>
          </w:tcPr>
          <w:p>
            <w:pPr>
              <w:adjustRightInd w:val="0"/>
              <w:snapToGrid w:val="0"/>
              <w:spacing w:line="320" w:lineRule="exact"/>
              <w:jc w:val="center"/>
              <w:rPr>
                <w:rFonts w:ascii="仿宋_GB2312" w:hAnsi="仿宋_GB2312" w:eastAsia="仿宋_GB2312" w:cs="仿宋_GB2312"/>
                <w:color w:val="000000"/>
                <w:sz w:val="24"/>
                <w:szCs w:val="24"/>
              </w:rPr>
            </w:pPr>
          </w:p>
        </w:tc>
        <w:tc>
          <w:tcPr>
            <w:tcW w:w="1039" w:type="dxa"/>
            <w:vMerge w:val="continue"/>
            <w:vAlign w:val="center"/>
          </w:tcPr>
          <w:p>
            <w:pPr>
              <w:adjustRightInd w:val="0"/>
              <w:snapToGrid w:val="0"/>
              <w:spacing w:line="320" w:lineRule="exact"/>
              <w:jc w:val="center"/>
              <w:rPr>
                <w:rFonts w:ascii="仿宋_GB2312" w:hAnsi="仿宋_GB2312" w:eastAsia="仿宋_GB2312" w:cs="仿宋_GB2312"/>
                <w:color w:val="000000"/>
                <w:sz w:val="24"/>
                <w:szCs w:val="24"/>
              </w:rPr>
            </w:pPr>
          </w:p>
        </w:tc>
        <w:tc>
          <w:tcPr>
            <w:tcW w:w="1959" w:type="dxa"/>
            <w:vAlign w:val="center"/>
          </w:tcPr>
          <w:p>
            <w:pPr>
              <w:adjustRightInd w:val="0"/>
              <w:snapToGrid w:val="0"/>
              <w:spacing w:line="320" w:lineRule="exact"/>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非税收入未及时上缴</w:t>
            </w:r>
          </w:p>
        </w:tc>
        <w:tc>
          <w:tcPr>
            <w:tcW w:w="5247" w:type="dxa"/>
            <w:vAlign w:val="center"/>
          </w:tcPr>
          <w:p>
            <w:pPr>
              <w:adjustRightInd w:val="0"/>
              <w:snapToGrid w:val="0"/>
              <w:spacing w:line="320" w:lineRule="exac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10个部门非税收入未及时上缴财政，包括利息、租金和管理费等，涉及金额948.32万元。</w:t>
            </w:r>
          </w:p>
        </w:tc>
        <w:tc>
          <w:tcPr>
            <w:tcW w:w="1721" w:type="dxa"/>
            <w:vAlign w:val="center"/>
          </w:tcPr>
          <w:p>
            <w:pPr>
              <w:adjustRightInd w:val="0"/>
              <w:snapToGrid w:val="0"/>
              <w:spacing w:line="320" w:lineRule="exact"/>
              <w:jc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rPr>
              <w:t>市公安局、公安局交通警察局、财政局、规划和自然资源局、交通运输局、水务局、住房保障署、气象局，市委党校、市</w:t>
            </w:r>
            <w:r>
              <w:rPr>
                <w:rFonts w:hint="eastAsia" w:ascii="仿宋_GB2312" w:hAnsi="仿宋_GB2312" w:eastAsia="仿宋_GB2312" w:cs="仿宋_GB2312"/>
                <w:color w:val="000000"/>
                <w:sz w:val="24"/>
                <w:szCs w:val="24"/>
                <w:lang w:eastAsia="zh-CN"/>
              </w:rPr>
              <w:t>中级人民法院</w:t>
            </w:r>
          </w:p>
        </w:tc>
        <w:tc>
          <w:tcPr>
            <w:tcW w:w="3310" w:type="dxa"/>
            <w:vAlign w:val="center"/>
          </w:tcPr>
          <w:p>
            <w:pPr>
              <w:adjustRightInd w:val="0"/>
              <w:snapToGrid w:val="0"/>
              <w:spacing w:line="320" w:lineRule="exac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审计指出问题后，相关单位已上缴非税收入943.28万元。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7" w:type="dxa"/>
            <w:vAlign w:val="center"/>
          </w:tcPr>
          <w:p>
            <w:pPr>
              <w:adjustRightInd w:val="0"/>
              <w:snapToGrid w:val="0"/>
              <w:spacing w:line="360" w:lineRule="exact"/>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18</w:t>
            </w:r>
          </w:p>
        </w:tc>
        <w:tc>
          <w:tcPr>
            <w:tcW w:w="970" w:type="dxa"/>
            <w:vMerge w:val="restart"/>
            <w:vAlign w:val="center"/>
          </w:tcPr>
          <w:p>
            <w:pPr>
              <w:adjustRightInd w:val="0"/>
              <w:snapToGrid w:val="0"/>
              <w:spacing w:line="360" w:lineRule="exact"/>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二、部门预算执行审计情况</w:t>
            </w:r>
          </w:p>
        </w:tc>
        <w:tc>
          <w:tcPr>
            <w:tcW w:w="1039" w:type="dxa"/>
            <w:vAlign w:val="center"/>
          </w:tcPr>
          <w:p>
            <w:pPr>
              <w:adjustRightInd w:val="0"/>
              <w:snapToGrid w:val="0"/>
              <w:spacing w:line="360" w:lineRule="exact"/>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（二）部分单位预算编制执行不够规范</w:t>
            </w:r>
          </w:p>
        </w:tc>
        <w:tc>
          <w:tcPr>
            <w:tcW w:w="1959" w:type="dxa"/>
            <w:vAlign w:val="center"/>
          </w:tcPr>
          <w:p>
            <w:pPr>
              <w:adjustRightInd w:val="0"/>
              <w:snapToGrid w:val="0"/>
              <w:spacing w:line="360" w:lineRule="exact"/>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结转结余资金未按规定收回统筹使用</w:t>
            </w:r>
          </w:p>
        </w:tc>
        <w:tc>
          <w:tcPr>
            <w:tcW w:w="5247" w:type="dxa"/>
            <w:vAlign w:val="center"/>
          </w:tcPr>
          <w:p>
            <w:pPr>
              <w:adjustRightInd w:val="0"/>
              <w:snapToGrid w:val="0"/>
              <w:spacing w:line="360" w:lineRule="exac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12个部门结转2年以上的资金或结余资金未按要求清理和收回财政统筹，涉及金额1.12亿元。</w:t>
            </w:r>
          </w:p>
        </w:tc>
        <w:tc>
          <w:tcPr>
            <w:tcW w:w="1721" w:type="dxa"/>
            <w:vAlign w:val="center"/>
          </w:tcPr>
          <w:p>
            <w:pPr>
              <w:adjustRightInd w:val="0"/>
              <w:snapToGrid w:val="0"/>
              <w:spacing w:line="360" w:lineRule="exact"/>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市公安局、民政局、人力资源保障局、规划和自然资源局、文化广电旅游体育局、退役军人局、城管和综合执法局、政务服务数据管理局，市</w:t>
            </w:r>
            <w:r>
              <w:rPr>
                <w:rFonts w:hint="eastAsia" w:ascii="仿宋_GB2312" w:hAnsi="仿宋_GB2312" w:eastAsia="仿宋_GB2312" w:cs="仿宋_GB2312"/>
                <w:color w:val="000000"/>
                <w:sz w:val="24"/>
                <w:szCs w:val="24"/>
                <w:lang w:eastAsia="zh-CN"/>
              </w:rPr>
              <w:t>中级人民法院</w:t>
            </w:r>
            <w:r>
              <w:rPr>
                <w:rFonts w:hint="eastAsia" w:ascii="仿宋_GB2312" w:hAnsi="仿宋_GB2312" w:eastAsia="仿宋_GB2312" w:cs="仿宋_GB2312"/>
                <w:color w:val="000000"/>
                <w:sz w:val="24"/>
                <w:szCs w:val="24"/>
              </w:rPr>
              <w:t>、南山区检察院、宝安区法院、前海管理局</w:t>
            </w:r>
          </w:p>
        </w:tc>
        <w:tc>
          <w:tcPr>
            <w:tcW w:w="3310" w:type="dxa"/>
            <w:vAlign w:val="center"/>
          </w:tcPr>
          <w:p>
            <w:pPr>
              <w:adjustRightInd w:val="0"/>
              <w:snapToGrid w:val="0"/>
              <w:spacing w:line="360" w:lineRule="exac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审计指出问题后，相关单位已上缴结余资金1.12亿元。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0" w:hRule="atLeast"/>
          <w:jc w:val="center"/>
        </w:trPr>
        <w:tc>
          <w:tcPr>
            <w:tcW w:w="927" w:type="dxa"/>
            <w:vAlign w:val="center"/>
          </w:tcPr>
          <w:p>
            <w:pPr>
              <w:adjustRightInd w:val="0"/>
              <w:snapToGrid w:val="0"/>
              <w:spacing w:line="360" w:lineRule="exact"/>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19</w:t>
            </w:r>
          </w:p>
        </w:tc>
        <w:tc>
          <w:tcPr>
            <w:tcW w:w="970" w:type="dxa"/>
            <w:vMerge w:val="continue"/>
            <w:vAlign w:val="center"/>
          </w:tcPr>
          <w:p>
            <w:pPr>
              <w:adjustRightInd w:val="0"/>
              <w:snapToGrid w:val="0"/>
              <w:spacing w:line="360" w:lineRule="exact"/>
              <w:jc w:val="center"/>
              <w:rPr>
                <w:rFonts w:ascii="仿宋_GB2312" w:hAnsi="仿宋_GB2312" w:eastAsia="仿宋_GB2312" w:cs="仿宋_GB2312"/>
                <w:color w:val="000000"/>
                <w:sz w:val="24"/>
                <w:szCs w:val="24"/>
              </w:rPr>
            </w:pPr>
          </w:p>
        </w:tc>
        <w:tc>
          <w:tcPr>
            <w:tcW w:w="1039" w:type="dxa"/>
            <w:vAlign w:val="center"/>
          </w:tcPr>
          <w:p>
            <w:pPr>
              <w:adjustRightInd w:val="0"/>
              <w:snapToGrid w:val="0"/>
              <w:spacing w:line="360" w:lineRule="exact"/>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（三）资产管理使用方面存在问题</w:t>
            </w:r>
          </w:p>
        </w:tc>
        <w:tc>
          <w:tcPr>
            <w:tcW w:w="1959" w:type="dxa"/>
            <w:vAlign w:val="center"/>
          </w:tcPr>
          <w:p>
            <w:pPr>
              <w:adjustRightInd w:val="0"/>
              <w:snapToGrid w:val="0"/>
              <w:spacing w:line="360" w:lineRule="exact"/>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部分土地房屋资产未入账</w:t>
            </w:r>
          </w:p>
        </w:tc>
        <w:tc>
          <w:tcPr>
            <w:tcW w:w="5247" w:type="dxa"/>
            <w:vAlign w:val="center"/>
          </w:tcPr>
          <w:p>
            <w:pPr>
              <w:adjustRightInd w:val="0"/>
              <w:snapToGrid w:val="0"/>
              <w:spacing w:line="360" w:lineRule="exac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7个部门77处土地房屋未入账，涉及面积284.51万平方米。</w:t>
            </w:r>
          </w:p>
        </w:tc>
        <w:tc>
          <w:tcPr>
            <w:tcW w:w="1721" w:type="dxa"/>
            <w:vAlign w:val="center"/>
          </w:tcPr>
          <w:p>
            <w:pPr>
              <w:adjustRightInd w:val="0"/>
              <w:snapToGrid w:val="0"/>
              <w:spacing w:line="360" w:lineRule="exact"/>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市科技创新委、公安局、公安局交通警察局、交通运输局、城管和综合执法局、机关事务管理局，市检察院</w:t>
            </w:r>
          </w:p>
        </w:tc>
        <w:tc>
          <w:tcPr>
            <w:tcW w:w="3310" w:type="dxa"/>
            <w:vAlign w:val="center"/>
          </w:tcPr>
          <w:p>
            <w:pPr>
              <w:adjustRightInd w:val="0"/>
              <w:snapToGrid w:val="0"/>
              <w:spacing w:line="360" w:lineRule="exac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审计要求，各有关部门要严格执行国有资产管理使用和物业出租相关规定，及时进行账务处理和收缴租金收入，真实完整地反映资产状况，定期自查自纠。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7" w:type="dxa"/>
            <w:vAlign w:val="center"/>
          </w:tcPr>
          <w:p>
            <w:pPr>
              <w:adjustRightInd w:val="0"/>
              <w:snapToGrid w:val="0"/>
              <w:spacing w:line="280" w:lineRule="exact"/>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20</w:t>
            </w:r>
          </w:p>
        </w:tc>
        <w:tc>
          <w:tcPr>
            <w:tcW w:w="970" w:type="dxa"/>
            <w:vAlign w:val="center"/>
          </w:tcPr>
          <w:p>
            <w:pPr>
              <w:adjustRightInd w:val="0"/>
              <w:snapToGrid w:val="0"/>
              <w:spacing w:line="280" w:lineRule="exact"/>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二、部门预算执行审计情况</w:t>
            </w:r>
          </w:p>
        </w:tc>
        <w:tc>
          <w:tcPr>
            <w:tcW w:w="1039" w:type="dxa"/>
            <w:vAlign w:val="center"/>
          </w:tcPr>
          <w:p>
            <w:pPr>
              <w:adjustRightInd w:val="0"/>
              <w:snapToGrid w:val="0"/>
              <w:spacing w:line="280" w:lineRule="exact"/>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（三）资产管理使用方面存在问题</w:t>
            </w:r>
          </w:p>
        </w:tc>
        <w:tc>
          <w:tcPr>
            <w:tcW w:w="1959" w:type="dxa"/>
            <w:vAlign w:val="center"/>
          </w:tcPr>
          <w:p>
            <w:pPr>
              <w:adjustRightInd w:val="0"/>
              <w:snapToGrid w:val="0"/>
              <w:spacing w:line="280" w:lineRule="exact"/>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在建工程项目长期未登记固定资产或未清理</w:t>
            </w:r>
          </w:p>
        </w:tc>
        <w:tc>
          <w:tcPr>
            <w:tcW w:w="5247" w:type="dxa"/>
            <w:vAlign w:val="center"/>
          </w:tcPr>
          <w:p>
            <w:pPr>
              <w:adjustRightInd w:val="0"/>
              <w:snapToGrid w:val="0"/>
              <w:spacing w:line="280" w:lineRule="exac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由于未付尾款、未办理竣工决算或存在历史遗留问题等，26个部门610个项目未登记固定资产或未清理。</w:t>
            </w:r>
          </w:p>
        </w:tc>
        <w:tc>
          <w:tcPr>
            <w:tcW w:w="1721" w:type="dxa"/>
            <w:vAlign w:val="center"/>
          </w:tcPr>
          <w:p>
            <w:pPr>
              <w:adjustRightInd w:val="0"/>
              <w:snapToGrid w:val="0"/>
              <w:spacing w:line="280" w:lineRule="exact"/>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市发展改革委、教育局、科技创新委、工业和信息化局、公安局、公安局交通警察局、司法局、交通运输局、水务局、文化广电旅游体育局、卫生健康委、市场监管局、统计局、城管和综合执法局、信访局、气象局、机关事务管理局，市纪委监委机关、市委政法委、罗湖区检察院、前海管理局、深圳大学、北京大学深圳研究院、深圳职业技术学院、深圳市技师学院、深圳北京大学香港科技大学医学中心</w:t>
            </w:r>
          </w:p>
        </w:tc>
        <w:tc>
          <w:tcPr>
            <w:tcW w:w="3310" w:type="dxa"/>
            <w:vAlign w:val="center"/>
          </w:tcPr>
          <w:p>
            <w:pPr>
              <w:adjustRightInd w:val="0"/>
              <w:snapToGrid w:val="0"/>
              <w:spacing w:line="280" w:lineRule="exac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审计要求，各有关部门要严格执行国有资产管理使用和物业出租相关规定，及时进行账务处理和收缴租金收入，真实完整地反映资产状况，定期自查自纠。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7" w:type="dxa"/>
            <w:vAlign w:val="center"/>
          </w:tcPr>
          <w:p>
            <w:pPr>
              <w:adjustRightInd w:val="0"/>
              <w:snapToGrid w:val="0"/>
              <w:spacing w:line="330" w:lineRule="exact"/>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21</w:t>
            </w:r>
          </w:p>
        </w:tc>
        <w:tc>
          <w:tcPr>
            <w:tcW w:w="970" w:type="dxa"/>
            <w:vMerge w:val="restart"/>
            <w:vAlign w:val="center"/>
          </w:tcPr>
          <w:p>
            <w:pPr>
              <w:adjustRightInd w:val="0"/>
              <w:snapToGrid w:val="0"/>
              <w:spacing w:line="330" w:lineRule="exact"/>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二、部门预算执行审计情况</w:t>
            </w:r>
          </w:p>
        </w:tc>
        <w:tc>
          <w:tcPr>
            <w:tcW w:w="1039" w:type="dxa"/>
            <w:vMerge w:val="restart"/>
            <w:vAlign w:val="center"/>
          </w:tcPr>
          <w:p>
            <w:pPr>
              <w:adjustRightInd w:val="0"/>
              <w:snapToGrid w:val="0"/>
              <w:spacing w:line="330" w:lineRule="exact"/>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（三）资产管理使用方面存在问题</w:t>
            </w:r>
          </w:p>
        </w:tc>
        <w:tc>
          <w:tcPr>
            <w:tcW w:w="1959" w:type="dxa"/>
            <w:vAlign w:val="center"/>
          </w:tcPr>
          <w:p>
            <w:pPr>
              <w:adjustRightInd w:val="0"/>
              <w:snapToGrid w:val="0"/>
              <w:spacing w:line="330" w:lineRule="exact"/>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资产处置未及时进行账务处理</w:t>
            </w:r>
          </w:p>
        </w:tc>
        <w:tc>
          <w:tcPr>
            <w:tcW w:w="5247" w:type="dxa"/>
            <w:vAlign w:val="center"/>
          </w:tcPr>
          <w:p>
            <w:pPr>
              <w:adjustRightInd w:val="0"/>
              <w:snapToGrid w:val="0"/>
              <w:spacing w:line="330" w:lineRule="exac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2个部门部分房屋资产已出售、拆除或置换，但未按规定及时进行账务处理。</w:t>
            </w:r>
          </w:p>
        </w:tc>
        <w:tc>
          <w:tcPr>
            <w:tcW w:w="1721" w:type="dxa"/>
            <w:vAlign w:val="center"/>
          </w:tcPr>
          <w:p>
            <w:pPr>
              <w:adjustRightInd w:val="0"/>
              <w:snapToGrid w:val="0"/>
              <w:spacing w:line="330" w:lineRule="exact"/>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市市场监管局，市检察院</w:t>
            </w:r>
          </w:p>
        </w:tc>
        <w:tc>
          <w:tcPr>
            <w:tcW w:w="3310" w:type="dxa"/>
            <w:vMerge w:val="restart"/>
            <w:vAlign w:val="center"/>
          </w:tcPr>
          <w:p>
            <w:pPr>
              <w:adjustRightInd w:val="0"/>
              <w:snapToGrid w:val="0"/>
              <w:spacing w:line="330" w:lineRule="exac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审计要求，各有关部门要严格执行国有资产管理使用和物业出租相关规定，及时进行账务处理和收缴租金收入，真实完整地反映资产状况，定期自查自纠。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7" w:type="dxa"/>
            <w:vAlign w:val="center"/>
          </w:tcPr>
          <w:p>
            <w:pPr>
              <w:adjustRightInd w:val="0"/>
              <w:snapToGrid w:val="0"/>
              <w:spacing w:line="330" w:lineRule="exact"/>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22</w:t>
            </w:r>
          </w:p>
        </w:tc>
        <w:tc>
          <w:tcPr>
            <w:tcW w:w="970" w:type="dxa"/>
            <w:vMerge w:val="continue"/>
            <w:vAlign w:val="center"/>
          </w:tcPr>
          <w:p>
            <w:pPr>
              <w:adjustRightInd w:val="0"/>
              <w:snapToGrid w:val="0"/>
              <w:spacing w:line="330" w:lineRule="exact"/>
              <w:jc w:val="center"/>
              <w:rPr>
                <w:rFonts w:ascii="仿宋_GB2312" w:hAnsi="仿宋_GB2312" w:eastAsia="仿宋_GB2312" w:cs="仿宋_GB2312"/>
                <w:color w:val="000000"/>
                <w:sz w:val="24"/>
                <w:szCs w:val="24"/>
              </w:rPr>
            </w:pPr>
          </w:p>
        </w:tc>
        <w:tc>
          <w:tcPr>
            <w:tcW w:w="1039" w:type="dxa"/>
            <w:vMerge w:val="continue"/>
            <w:vAlign w:val="center"/>
          </w:tcPr>
          <w:p>
            <w:pPr>
              <w:adjustRightInd w:val="0"/>
              <w:snapToGrid w:val="0"/>
              <w:spacing w:line="330" w:lineRule="exact"/>
              <w:jc w:val="center"/>
              <w:rPr>
                <w:rFonts w:ascii="仿宋_GB2312" w:hAnsi="仿宋_GB2312" w:eastAsia="仿宋_GB2312" w:cs="仿宋_GB2312"/>
                <w:color w:val="000000"/>
                <w:sz w:val="24"/>
                <w:szCs w:val="24"/>
              </w:rPr>
            </w:pPr>
          </w:p>
        </w:tc>
        <w:tc>
          <w:tcPr>
            <w:tcW w:w="1959" w:type="dxa"/>
            <w:vAlign w:val="center"/>
          </w:tcPr>
          <w:p>
            <w:pPr>
              <w:adjustRightInd w:val="0"/>
              <w:snapToGrid w:val="0"/>
              <w:spacing w:line="330" w:lineRule="exact"/>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出租资产程序不规范</w:t>
            </w:r>
          </w:p>
        </w:tc>
        <w:tc>
          <w:tcPr>
            <w:tcW w:w="5247" w:type="dxa"/>
            <w:vAlign w:val="center"/>
          </w:tcPr>
          <w:p>
            <w:pPr>
              <w:adjustRightInd w:val="0"/>
              <w:snapToGrid w:val="0"/>
              <w:spacing w:line="330" w:lineRule="exac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2个部门出租物业仅由主管部门内部审批，未按规定报财政部门审批或备案，涉及面积8.64万平方米。</w:t>
            </w:r>
          </w:p>
        </w:tc>
        <w:tc>
          <w:tcPr>
            <w:tcW w:w="1721" w:type="dxa"/>
            <w:vMerge w:val="restart"/>
            <w:vAlign w:val="center"/>
          </w:tcPr>
          <w:p>
            <w:pPr>
              <w:adjustRightInd w:val="0"/>
              <w:snapToGrid w:val="0"/>
              <w:spacing w:line="330" w:lineRule="exact"/>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市交通运输局、城管和综合执法局</w:t>
            </w:r>
          </w:p>
        </w:tc>
        <w:tc>
          <w:tcPr>
            <w:tcW w:w="3310" w:type="dxa"/>
            <w:vMerge w:val="continue"/>
            <w:vAlign w:val="center"/>
          </w:tcPr>
          <w:p>
            <w:pPr>
              <w:adjustRightInd w:val="0"/>
              <w:snapToGrid w:val="0"/>
              <w:spacing w:line="330" w:lineRule="exact"/>
              <w:rPr>
                <w:rFonts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7" w:type="dxa"/>
            <w:vAlign w:val="center"/>
          </w:tcPr>
          <w:p>
            <w:pPr>
              <w:adjustRightInd w:val="0"/>
              <w:snapToGrid w:val="0"/>
              <w:spacing w:line="330" w:lineRule="exact"/>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23</w:t>
            </w:r>
          </w:p>
        </w:tc>
        <w:tc>
          <w:tcPr>
            <w:tcW w:w="970" w:type="dxa"/>
            <w:vMerge w:val="continue"/>
            <w:vAlign w:val="center"/>
          </w:tcPr>
          <w:p>
            <w:pPr>
              <w:adjustRightInd w:val="0"/>
              <w:snapToGrid w:val="0"/>
              <w:spacing w:line="330" w:lineRule="exact"/>
              <w:jc w:val="center"/>
              <w:rPr>
                <w:rFonts w:ascii="仿宋_GB2312" w:hAnsi="仿宋_GB2312" w:eastAsia="仿宋_GB2312" w:cs="仿宋_GB2312"/>
                <w:color w:val="000000"/>
                <w:sz w:val="24"/>
                <w:szCs w:val="24"/>
              </w:rPr>
            </w:pPr>
          </w:p>
        </w:tc>
        <w:tc>
          <w:tcPr>
            <w:tcW w:w="1039" w:type="dxa"/>
            <w:vMerge w:val="continue"/>
            <w:vAlign w:val="center"/>
          </w:tcPr>
          <w:p>
            <w:pPr>
              <w:adjustRightInd w:val="0"/>
              <w:snapToGrid w:val="0"/>
              <w:spacing w:line="330" w:lineRule="exact"/>
              <w:jc w:val="center"/>
              <w:rPr>
                <w:rFonts w:ascii="仿宋_GB2312" w:hAnsi="仿宋_GB2312" w:eastAsia="仿宋_GB2312" w:cs="仿宋_GB2312"/>
                <w:color w:val="000000"/>
                <w:sz w:val="24"/>
                <w:szCs w:val="24"/>
              </w:rPr>
            </w:pPr>
          </w:p>
        </w:tc>
        <w:tc>
          <w:tcPr>
            <w:tcW w:w="1959" w:type="dxa"/>
            <w:vAlign w:val="center"/>
          </w:tcPr>
          <w:p>
            <w:pPr>
              <w:adjustRightInd w:val="0"/>
              <w:snapToGrid w:val="0"/>
              <w:spacing w:line="330" w:lineRule="exact"/>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出租物业价格低</w:t>
            </w:r>
          </w:p>
        </w:tc>
        <w:tc>
          <w:tcPr>
            <w:tcW w:w="5247" w:type="dxa"/>
            <w:vAlign w:val="center"/>
          </w:tcPr>
          <w:p>
            <w:pPr>
              <w:adjustRightInd w:val="0"/>
              <w:snapToGrid w:val="0"/>
              <w:spacing w:line="330" w:lineRule="exac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2个部门20处房屋的租赁价格为所在片区房屋租赁指导价的4.3%—67.2%，涉及面积1.71万平方米。</w:t>
            </w:r>
          </w:p>
        </w:tc>
        <w:tc>
          <w:tcPr>
            <w:tcW w:w="1721" w:type="dxa"/>
            <w:vMerge w:val="continue"/>
            <w:vAlign w:val="center"/>
          </w:tcPr>
          <w:p>
            <w:pPr>
              <w:adjustRightInd w:val="0"/>
              <w:snapToGrid w:val="0"/>
              <w:spacing w:line="330" w:lineRule="exact"/>
              <w:jc w:val="center"/>
              <w:rPr>
                <w:rFonts w:ascii="仿宋_GB2312" w:hAnsi="仿宋_GB2312" w:eastAsia="仿宋_GB2312" w:cs="仿宋_GB2312"/>
                <w:color w:val="000000"/>
                <w:sz w:val="24"/>
                <w:szCs w:val="24"/>
              </w:rPr>
            </w:pPr>
          </w:p>
        </w:tc>
        <w:tc>
          <w:tcPr>
            <w:tcW w:w="3310" w:type="dxa"/>
            <w:vMerge w:val="continue"/>
            <w:vAlign w:val="center"/>
          </w:tcPr>
          <w:p>
            <w:pPr>
              <w:adjustRightInd w:val="0"/>
              <w:snapToGrid w:val="0"/>
              <w:spacing w:line="330" w:lineRule="exact"/>
              <w:rPr>
                <w:rFonts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7" w:type="dxa"/>
            <w:vAlign w:val="center"/>
          </w:tcPr>
          <w:p>
            <w:pPr>
              <w:adjustRightInd w:val="0"/>
              <w:snapToGrid w:val="0"/>
              <w:spacing w:line="330" w:lineRule="exact"/>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24</w:t>
            </w:r>
          </w:p>
        </w:tc>
        <w:tc>
          <w:tcPr>
            <w:tcW w:w="970" w:type="dxa"/>
            <w:vMerge w:val="continue"/>
            <w:vAlign w:val="center"/>
          </w:tcPr>
          <w:p>
            <w:pPr>
              <w:adjustRightInd w:val="0"/>
              <w:snapToGrid w:val="0"/>
              <w:spacing w:line="330" w:lineRule="exact"/>
              <w:jc w:val="center"/>
              <w:rPr>
                <w:rFonts w:ascii="仿宋_GB2312" w:hAnsi="仿宋_GB2312" w:eastAsia="仿宋_GB2312" w:cs="仿宋_GB2312"/>
                <w:color w:val="000000"/>
                <w:sz w:val="24"/>
                <w:szCs w:val="24"/>
              </w:rPr>
            </w:pPr>
          </w:p>
        </w:tc>
        <w:tc>
          <w:tcPr>
            <w:tcW w:w="1039" w:type="dxa"/>
            <w:vMerge w:val="continue"/>
            <w:vAlign w:val="center"/>
          </w:tcPr>
          <w:p>
            <w:pPr>
              <w:adjustRightInd w:val="0"/>
              <w:snapToGrid w:val="0"/>
              <w:spacing w:line="330" w:lineRule="exact"/>
              <w:jc w:val="center"/>
              <w:rPr>
                <w:rFonts w:ascii="仿宋_GB2312" w:hAnsi="仿宋_GB2312" w:eastAsia="仿宋_GB2312" w:cs="仿宋_GB2312"/>
                <w:color w:val="000000"/>
                <w:sz w:val="24"/>
                <w:szCs w:val="24"/>
              </w:rPr>
            </w:pPr>
          </w:p>
        </w:tc>
        <w:tc>
          <w:tcPr>
            <w:tcW w:w="1959" w:type="dxa"/>
            <w:vAlign w:val="center"/>
          </w:tcPr>
          <w:p>
            <w:pPr>
              <w:adjustRightInd w:val="0"/>
              <w:snapToGrid w:val="0"/>
              <w:spacing w:line="330" w:lineRule="exact"/>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未及时收缴租金</w:t>
            </w:r>
          </w:p>
        </w:tc>
        <w:tc>
          <w:tcPr>
            <w:tcW w:w="5247" w:type="dxa"/>
            <w:vAlign w:val="center"/>
          </w:tcPr>
          <w:p>
            <w:pPr>
              <w:adjustRightInd w:val="0"/>
              <w:snapToGrid w:val="0"/>
              <w:spacing w:line="330" w:lineRule="exac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3个部门未及时收缴承租方租金，资产使用收益存在风险，涉及金额352.52万元。</w:t>
            </w:r>
          </w:p>
        </w:tc>
        <w:tc>
          <w:tcPr>
            <w:tcW w:w="1721" w:type="dxa"/>
            <w:vAlign w:val="center"/>
          </w:tcPr>
          <w:p>
            <w:pPr>
              <w:adjustRightInd w:val="0"/>
              <w:snapToGrid w:val="0"/>
              <w:spacing w:line="330" w:lineRule="exact"/>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市交通运输局、城管和综合执法局、机关事务管理局</w:t>
            </w:r>
          </w:p>
        </w:tc>
        <w:tc>
          <w:tcPr>
            <w:tcW w:w="3310" w:type="dxa"/>
            <w:vMerge w:val="continue"/>
            <w:vAlign w:val="center"/>
          </w:tcPr>
          <w:p>
            <w:pPr>
              <w:adjustRightInd w:val="0"/>
              <w:snapToGrid w:val="0"/>
              <w:spacing w:line="330" w:lineRule="exact"/>
              <w:rPr>
                <w:rFonts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7" w:type="dxa"/>
            <w:vAlign w:val="center"/>
          </w:tcPr>
          <w:p>
            <w:pPr>
              <w:adjustRightInd w:val="0"/>
              <w:snapToGrid w:val="0"/>
              <w:spacing w:line="330" w:lineRule="exact"/>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25</w:t>
            </w:r>
          </w:p>
        </w:tc>
        <w:tc>
          <w:tcPr>
            <w:tcW w:w="970" w:type="dxa"/>
            <w:vMerge w:val="restart"/>
            <w:vAlign w:val="center"/>
          </w:tcPr>
          <w:p>
            <w:pPr>
              <w:adjustRightInd w:val="0"/>
              <w:snapToGrid w:val="0"/>
              <w:spacing w:line="330" w:lineRule="exact"/>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三、财政决算审计情况</w:t>
            </w:r>
          </w:p>
        </w:tc>
        <w:tc>
          <w:tcPr>
            <w:tcW w:w="1039" w:type="dxa"/>
            <w:vMerge w:val="restart"/>
            <w:vAlign w:val="center"/>
          </w:tcPr>
          <w:p>
            <w:pPr>
              <w:adjustRightInd w:val="0"/>
              <w:snapToGrid w:val="0"/>
              <w:spacing w:line="330" w:lineRule="exact"/>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（一）市本级决算草案审计情况</w:t>
            </w:r>
          </w:p>
        </w:tc>
        <w:tc>
          <w:tcPr>
            <w:tcW w:w="1959" w:type="dxa"/>
            <w:vAlign w:val="center"/>
          </w:tcPr>
          <w:p>
            <w:pPr>
              <w:adjustRightInd w:val="0"/>
              <w:snapToGrid w:val="0"/>
              <w:spacing w:line="330" w:lineRule="exact"/>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未说明高中学位的建设和支出情况</w:t>
            </w:r>
          </w:p>
        </w:tc>
        <w:tc>
          <w:tcPr>
            <w:tcW w:w="5247" w:type="dxa"/>
            <w:vAlign w:val="center"/>
          </w:tcPr>
          <w:p>
            <w:pPr>
              <w:adjustRightInd w:val="0"/>
              <w:snapToGrid w:val="0"/>
              <w:spacing w:line="330" w:lineRule="exac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市人大计划预算委关于深圳市2019年本级第二次预算调整方案的审查报告提出，加大民生领域的投入力度，优化财政支出结构，优先解决人民群众关注的学前教育和高中学位紧张等问题。《关于深圳市2019年本级决算草案的报告（批复前初稿）》显示，2019年，全市教育支出716.6亿元，增长22.6%。新改扩建中小学校40所，新增学位6万个以上。上述描述未说明高中学位的建设增加情况和财政支出情况。</w:t>
            </w:r>
          </w:p>
        </w:tc>
        <w:tc>
          <w:tcPr>
            <w:tcW w:w="1721" w:type="dxa"/>
            <w:vMerge w:val="restart"/>
            <w:vAlign w:val="center"/>
          </w:tcPr>
          <w:p>
            <w:pPr>
              <w:adjustRightInd w:val="0"/>
              <w:snapToGrid w:val="0"/>
              <w:spacing w:line="330" w:lineRule="exact"/>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市财政局</w:t>
            </w:r>
          </w:p>
        </w:tc>
        <w:tc>
          <w:tcPr>
            <w:tcW w:w="3310" w:type="dxa"/>
            <w:vMerge w:val="restart"/>
            <w:vAlign w:val="center"/>
          </w:tcPr>
          <w:p>
            <w:pPr>
              <w:adjustRightInd w:val="0"/>
              <w:snapToGrid w:val="0"/>
              <w:spacing w:line="330" w:lineRule="exac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审计指出问题后，市财政局已完善《关于深圳市2019年本级决算草案的报告（批复前初稿）》。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7" w:type="dxa"/>
            <w:vAlign w:val="center"/>
          </w:tcPr>
          <w:p>
            <w:pPr>
              <w:adjustRightInd w:val="0"/>
              <w:snapToGrid w:val="0"/>
              <w:spacing w:line="330" w:lineRule="exact"/>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26</w:t>
            </w:r>
          </w:p>
        </w:tc>
        <w:tc>
          <w:tcPr>
            <w:tcW w:w="970" w:type="dxa"/>
            <w:vMerge w:val="continue"/>
            <w:vAlign w:val="center"/>
          </w:tcPr>
          <w:p>
            <w:pPr>
              <w:adjustRightInd w:val="0"/>
              <w:snapToGrid w:val="0"/>
              <w:spacing w:line="330" w:lineRule="exact"/>
              <w:jc w:val="center"/>
              <w:rPr>
                <w:rFonts w:ascii="仿宋_GB2312" w:hAnsi="仿宋_GB2312" w:eastAsia="仿宋_GB2312" w:cs="仿宋_GB2312"/>
                <w:color w:val="000000"/>
                <w:sz w:val="24"/>
                <w:szCs w:val="24"/>
              </w:rPr>
            </w:pPr>
          </w:p>
        </w:tc>
        <w:tc>
          <w:tcPr>
            <w:tcW w:w="1039" w:type="dxa"/>
            <w:vMerge w:val="continue"/>
            <w:vAlign w:val="center"/>
          </w:tcPr>
          <w:p>
            <w:pPr>
              <w:adjustRightInd w:val="0"/>
              <w:snapToGrid w:val="0"/>
              <w:spacing w:line="330" w:lineRule="exact"/>
              <w:jc w:val="center"/>
              <w:rPr>
                <w:rFonts w:ascii="仿宋_GB2312" w:hAnsi="仿宋_GB2312" w:eastAsia="仿宋_GB2312" w:cs="仿宋_GB2312"/>
                <w:color w:val="000000"/>
                <w:sz w:val="24"/>
                <w:szCs w:val="24"/>
              </w:rPr>
            </w:pPr>
          </w:p>
        </w:tc>
        <w:tc>
          <w:tcPr>
            <w:tcW w:w="1959" w:type="dxa"/>
            <w:vAlign w:val="center"/>
          </w:tcPr>
          <w:p>
            <w:pPr>
              <w:adjustRightInd w:val="0"/>
              <w:snapToGrid w:val="0"/>
              <w:spacing w:line="330" w:lineRule="exact"/>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预算稳定调节金数据不准确</w:t>
            </w:r>
          </w:p>
        </w:tc>
        <w:tc>
          <w:tcPr>
            <w:tcW w:w="5247" w:type="dxa"/>
            <w:vAlign w:val="center"/>
          </w:tcPr>
          <w:p>
            <w:pPr>
              <w:adjustRightInd w:val="0"/>
              <w:snapToGrid w:val="0"/>
              <w:spacing w:line="330" w:lineRule="exac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《关于深圳市2019年本级决算草案的报告（批复前初稿）》显示2019年年初市本级预算稳定调节金余额为344.4亿元，但会计账显示年初余额为322.4亿元，相差22亿元。</w:t>
            </w:r>
          </w:p>
        </w:tc>
        <w:tc>
          <w:tcPr>
            <w:tcW w:w="1721" w:type="dxa"/>
            <w:vMerge w:val="continue"/>
            <w:vAlign w:val="center"/>
          </w:tcPr>
          <w:p>
            <w:pPr>
              <w:adjustRightInd w:val="0"/>
              <w:snapToGrid w:val="0"/>
              <w:spacing w:line="330" w:lineRule="exact"/>
              <w:jc w:val="center"/>
              <w:rPr>
                <w:rFonts w:ascii="仿宋_GB2312" w:hAnsi="仿宋_GB2312" w:eastAsia="仿宋_GB2312" w:cs="仿宋_GB2312"/>
                <w:color w:val="000000"/>
                <w:sz w:val="24"/>
                <w:szCs w:val="24"/>
              </w:rPr>
            </w:pPr>
          </w:p>
        </w:tc>
        <w:tc>
          <w:tcPr>
            <w:tcW w:w="3310" w:type="dxa"/>
            <w:vMerge w:val="continue"/>
            <w:vAlign w:val="center"/>
          </w:tcPr>
          <w:p>
            <w:pPr>
              <w:adjustRightInd w:val="0"/>
              <w:snapToGrid w:val="0"/>
              <w:spacing w:line="330" w:lineRule="exact"/>
              <w:rPr>
                <w:rFonts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7" w:type="dxa"/>
            <w:vAlign w:val="center"/>
          </w:tcPr>
          <w:p>
            <w:pPr>
              <w:adjustRightInd w:val="0"/>
              <w:snapToGrid w:val="0"/>
              <w:spacing w:line="300" w:lineRule="exact"/>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27</w:t>
            </w:r>
          </w:p>
        </w:tc>
        <w:tc>
          <w:tcPr>
            <w:tcW w:w="970" w:type="dxa"/>
            <w:vMerge w:val="restart"/>
            <w:vAlign w:val="center"/>
          </w:tcPr>
          <w:p>
            <w:pPr>
              <w:adjustRightInd w:val="0"/>
              <w:snapToGrid w:val="0"/>
              <w:spacing w:line="300" w:lineRule="exact"/>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三、财政决算审计情况</w:t>
            </w:r>
          </w:p>
        </w:tc>
        <w:tc>
          <w:tcPr>
            <w:tcW w:w="1039" w:type="dxa"/>
            <w:vMerge w:val="restart"/>
            <w:vAlign w:val="center"/>
          </w:tcPr>
          <w:p>
            <w:pPr>
              <w:adjustRightInd w:val="0"/>
              <w:snapToGrid w:val="0"/>
              <w:spacing w:line="300" w:lineRule="exact"/>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（二）区级财政决算审计情况</w:t>
            </w:r>
          </w:p>
        </w:tc>
        <w:tc>
          <w:tcPr>
            <w:tcW w:w="1959" w:type="dxa"/>
            <w:vMerge w:val="restart"/>
            <w:vAlign w:val="center"/>
          </w:tcPr>
          <w:p>
            <w:pPr>
              <w:adjustRightInd w:val="0"/>
              <w:snapToGrid w:val="0"/>
              <w:spacing w:line="300" w:lineRule="exact"/>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部分专项资金使用管理不够规范，扶持效果不理想</w:t>
            </w:r>
          </w:p>
        </w:tc>
        <w:tc>
          <w:tcPr>
            <w:tcW w:w="5247" w:type="dxa"/>
            <w:vAlign w:val="center"/>
          </w:tcPr>
          <w:p>
            <w:pPr>
              <w:adjustRightInd w:val="0"/>
              <w:snapToGrid w:val="0"/>
              <w:spacing w:line="300" w:lineRule="exac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一是相关政策的审核条款不严谨。由于各区相关政策缺少对申请企业信用核查的条款，8个区给予已列入信用黑名单的企业补贴资金，涉及企业33家、资金787.66万元。</w:t>
            </w:r>
          </w:p>
        </w:tc>
        <w:tc>
          <w:tcPr>
            <w:tcW w:w="1721" w:type="dxa"/>
            <w:vMerge w:val="restart"/>
            <w:vAlign w:val="center"/>
          </w:tcPr>
          <w:p>
            <w:pPr>
              <w:adjustRightInd w:val="0"/>
              <w:snapToGrid w:val="0"/>
              <w:spacing w:line="300" w:lineRule="exact"/>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各区政府、新区管委会</w:t>
            </w:r>
          </w:p>
        </w:tc>
        <w:tc>
          <w:tcPr>
            <w:tcW w:w="3310" w:type="dxa"/>
            <w:vMerge w:val="restart"/>
            <w:vAlign w:val="center"/>
          </w:tcPr>
          <w:p>
            <w:pPr>
              <w:adjustRightInd w:val="0"/>
              <w:snapToGrid w:val="0"/>
              <w:spacing w:line="300" w:lineRule="exac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审计要求，各区政府和新区管委会要组织检查专项资金的使用和管理情况，强化信用体系数据应用，研究完善事前审核、事后监管相关规定。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7" w:type="dxa"/>
            <w:vAlign w:val="center"/>
          </w:tcPr>
          <w:p>
            <w:pPr>
              <w:adjustRightInd w:val="0"/>
              <w:snapToGrid w:val="0"/>
              <w:spacing w:line="300" w:lineRule="exact"/>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28</w:t>
            </w:r>
          </w:p>
        </w:tc>
        <w:tc>
          <w:tcPr>
            <w:tcW w:w="970" w:type="dxa"/>
            <w:vMerge w:val="continue"/>
            <w:vAlign w:val="center"/>
          </w:tcPr>
          <w:p>
            <w:pPr>
              <w:adjustRightInd w:val="0"/>
              <w:snapToGrid w:val="0"/>
              <w:spacing w:line="300" w:lineRule="exact"/>
              <w:jc w:val="center"/>
              <w:rPr>
                <w:rFonts w:ascii="仿宋_GB2312" w:hAnsi="仿宋_GB2312" w:eastAsia="仿宋_GB2312" w:cs="仿宋_GB2312"/>
                <w:color w:val="000000"/>
                <w:sz w:val="24"/>
                <w:szCs w:val="24"/>
              </w:rPr>
            </w:pPr>
          </w:p>
        </w:tc>
        <w:tc>
          <w:tcPr>
            <w:tcW w:w="1039" w:type="dxa"/>
            <w:vMerge w:val="continue"/>
            <w:vAlign w:val="center"/>
          </w:tcPr>
          <w:p>
            <w:pPr>
              <w:adjustRightInd w:val="0"/>
              <w:snapToGrid w:val="0"/>
              <w:spacing w:line="300" w:lineRule="exact"/>
              <w:jc w:val="center"/>
              <w:rPr>
                <w:rFonts w:ascii="仿宋_GB2312" w:hAnsi="仿宋_GB2312" w:eastAsia="仿宋_GB2312" w:cs="仿宋_GB2312"/>
                <w:color w:val="000000"/>
                <w:sz w:val="24"/>
                <w:szCs w:val="24"/>
              </w:rPr>
            </w:pPr>
          </w:p>
        </w:tc>
        <w:tc>
          <w:tcPr>
            <w:tcW w:w="1959" w:type="dxa"/>
            <w:vMerge w:val="continue"/>
            <w:vAlign w:val="center"/>
          </w:tcPr>
          <w:p>
            <w:pPr>
              <w:adjustRightInd w:val="0"/>
              <w:snapToGrid w:val="0"/>
              <w:spacing w:line="300" w:lineRule="exact"/>
              <w:jc w:val="center"/>
              <w:rPr>
                <w:rFonts w:ascii="仿宋_GB2312" w:hAnsi="仿宋_GB2312" w:eastAsia="仿宋_GB2312" w:cs="仿宋_GB2312"/>
                <w:color w:val="000000"/>
                <w:sz w:val="24"/>
                <w:szCs w:val="24"/>
              </w:rPr>
            </w:pPr>
          </w:p>
        </w:tc>
        <w:tc>
          <w:tcPr>
            <w:tcW w:w="5247" w:type="dxa"/>
            <w:vAlign w:val="center"/>
          </w:tcPr>
          <w:p>
            <w:pPr>
              <w:adjustRightInd w:val="0"/>
              <w:snapToGrid w:val="0"/>
              <w:spacing w:line="300" w:lineRule="exac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二是跨区迁出限制条件的可操作性不强。67家企业领取了产业扶持类专项资金后，3年内变更注册地或跨区迁出，涉及资金1.25亿元，其中25家180天内变更注册地或跨区迁出。福田、南山、光明、坪山等4个区对领取50万元、100万元以上补贴的企业作了3—5年不得搬离的要求，有39家企业在承诺期内迁出，涉及资金8,664.07万元，其中13家企业180天内迁出。</w:t>
            </w:r>
          </w:p>
        </w:tc>
        <w:tc>
          <w:tcPr>
            <w:tcW w:w="1721" w:type="dxa"/>
            <w:vMerge w:val="continue"/>
            <w:vAlign w:val="center"/>
          </w:tcPr>
          <w:p>
            <w:pPr>
              <w:adjustRightInd w:val="0"/>
              <w:snapToGrid w:val="0"/>
              <w:spacing w:line="300" w:lineRule="exact"/>
              <w:jc w:val="center"/>
              <w:rPr>
                <w:rFonts w:ascii="仿宋_GB2312" w:hAnsi="仿宋_GB2312" w:eastAsia="仿宋_GB2312" w:cs="仿宋_GB2312"/>
                <w:color w:val="000000"/>
                <w:sz w:val="24"/>
                <w:szCs w:val="24"/>
              </w:rPr>
            </w:pPr>
          </w:p>
        </w:tc>
        <w:tc>
          <w:tcPr>
            <w:tcW w:w="3310" w:type="dxa"/>
            <w:vMerge w:val="continue"/>
            <w:vAlign w:val="center"/>
          </w:tcPr>
          <w:p>
            <w:pPr>
              <w:adjustRightInd w:val="0"/>
              <w:snapToGrid w:val="0"/>
              <w:spacing w:line="300" w:lineRule="exact"/>
              <w:rPr>
                <w:rFonts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7" w:type="dxa"/>
            <w:vAlign w:val="center"/>
          </w:tcPr>
          <w:p>
            <w:pPr>
              <w:adjustRightInd w:val="0"/>
              <w:snapToGrid w:val="0"/>
              <w:spacing w:line="300" w:lineRule="exact"/>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29</w:t>
            </w:r>
          </w:p>
        </w:tc>
        <w:tc>
          <w:tcPr>
            <w:tcW w:w="970" w:type="dxa"/>
            <w:vMerge w:val="continue"/>
            <w:vAlign w:val="center"/>
          </w:tcPr>
          <w:p>
            <w:pPr>
              <w:adjustRightInd w:val="0"/>
              <w:snapToGrid w:val="0"/>
              <w:spacing w:line="300" w:lineRule="exact"/>
              <w:jc w:val="center"/>
              <w:rPr>
                <w:rFonts w:ascii="仿宋_GB2312" w:hAnsi="仿宋_GB2312" w:eastAsia="仿宋_GB2312" w:cs="仿宋_GB2312"/>
                <w:color w:val="000000"/>
                <w:sz w:val="24"/>
                <w:szCs w:val="24"/>
              </w:rPr>
            </w:pPr>
          </w:p>
        </w:tc>
        <w:tc>
          <w:tcPr>
            <w:tcW w:w="1039" w:type="dxa"/>
            <w:vMerge w:val="continue"/>
            <w:vAlign w:val="center"/>
          </w:tcPr>
          <w:p>
            <w:pPr>
              <w:adjustRightInd w:val="0"/>
              <w:snapToGrid w:val="0"/>
              <w:spacing w:line="300" w:lineRule="exact"/>
              <w:jc w:val="center"/>
              <w:rPr>
                <w:rFonts w:ascii="仿宋_GB2312" w:hAnsi="仿宋_GB2312" w:eastAsia="仿宋_GB2312" w:cs="仿宋_GB2312"/>
                <w:color w:val="000000"/>
                <w:sz w:val="24"/>
                <w:szCs w:val="24"/>
              </w:rPr>
            </w:pPr>
          </w:p>
        </w:tc>
        <w:tc>
          <w:tcPr>
            <w:tcW w:w="1959" w:type="dxa"/>
            <w:vMerge w:val="continue"/>
            <w:vAlign w:val="center"/>
          </w:tcPr>
          <w:p>
            <w:pPr>
              <w:adjustRightInd w:val="0"/>
              <w:snapToGrid w:val="0"/>
              <w:spacing w:line="300" w:lineRule="exact"/>
              <w:jc w:val="center"/>
              <w:rPr>
                <w:rFonts w:ascii="仿宋_GB2312" w:hAnsi="仿宋_GB2312" w:eastAsia="仿宋_GB2312" w:cs="仿宋_GB2312"/>
                <w:color w:val="000000"/>
                <w:sz w:val="24"/>
                <w:szCs w:val="24"/>
              </w:rPr>
            </w:pPr>
          </w:p>
        </w:tc>
        <w:tc>
          <w:tcPr>
            <w:tcW w:w="5247" w:type="dxa"/>
            <w:vAlign w:val="center"/>
          </w:tcPr>
          <w:p>
            <w:pPr>
              <w:adjustRightInd w:val="0"/>
              <w:snapToGrid w:val="0"/>
              <w:spacing w:line="300" w:lineRule="exac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三是部分专项资金扶持效果不理想。2016—2018年，2055家企业领取了产业扶持类专项资金13.19亿元后，未缴纳企业所得税；785家企业领取资金6.3亿元后，未缴纳增值税。截至2019年11月底，105家企业领取资金后3年内注销，涉及资金5,238.25万元；1493家企业领取资金后，税收贡献减少148.02亿元；210家企业领取资金后，次月参保职工减少9711人，减幅达59.21%，其中70家企业已停止参保。主要原因是主管部门对专项资金的后续监管和对企业的扶持跟进存在不足。</w:t>
            </w:r>
          </w:p>
        </w:tc>
        <w:tc>
          <w:tcPr>
            <w:tcW w:w="1721" w:type="dxa"/>
            <w:vMerge w:val="restart"/>
            <w:vAlign w:val="center"/>
          </w:tcPr>
          <w:p>
            <w:pPr>
              <w:adjustRightInd w:val="0"/>
              <w:snapToGrid w:val="0"/>
              <w:spacing w:line="300" w:lineRule="exact"/>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各区政府、新区管委会</w:t>
            </w:r>
          </w:p>
        </w:tc>
        <w:tc>
          <w:tcPr>
            <w:tcW w:w="3310" w:type="dxa"/>
            <w:vAlign w:val="center"/>
          </w:tcPr>
          <w:p>
            <w:pPr>
              <w:adjustRightInd w:val="0"/>
              <w:snapToGrid w:val="0"/>
              <w:spacing w:line="300" w:lineRule="exac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审计要求，各区政府和新区管委会要组织检查专项资金的使用和管理情况，强化信用体系数据应用，研究完善事前审核、事后监管相关规定。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7" w:type="dxa"/>
            <w:vAlign w:val="center"/>
          </w:tcPr>
          <w:p>
            <w:pPr>
              <w:adjustRightInd w:val="0"/>
              <w:snapToGrid w:val="0"/>
              <w:spacing w:line="300" w:lineRule="exact"/>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30</w:t>
            </w:r>
          </w:p>
        </w:tc>
        <w:tc>
          <w:tcPr>
            <w:tcW w:w="970" w:type="dxa"/>
            <w:vMerge w:val="continue"/>
            <w:vAlign w:val="center"/>
          </w:tcPr>
          <w:p>
            <w:pPr>
              <w:adjustRightInd w:val="0"/>
              <w:snapToGrid w:val="0"/>
              <w:spacing w:line="300" w:lineRule="exact"/>
              <w:jc w:val="center"/>
              <w:rPr>
                <w:rFonts w:ascii="仿宋_GB2312" w:hAnsi="仿宋_GB2312" w:eastAsia="仿宋_GB2312" w:cs="仿宋_GB2312"/>
                <w:color w:val="000000"/>
                <w:sz w:val="24"/>
                <w:szCs w:val="24"/>
              </w:rPr>
            </w:pPr>
          </w:p>
        </w:tc>
        <w:tc>
          <w:tcPr>
            <w:tcW w:w="1039" w:type="dxa"/>
            <w:vMerge w:val="continue"/>
            <w:vAlign w:val="center"/>
          </w:tcPr>
          <w:p>
            <w:pPr>
              <w:adjustRightInd w:val="0"/>
              <w:snapToGrid w:val="0"/>
              <w:spacing w:line="300" w:lineRule="exact"/>
              <w:jc w:val="center"/>
              <w:rPr>
                <w:rFonts w:ascii="仿宋_GB2312" w:hAnsi="仿宋_GB2312" w:eastAsia="仿宋_GB2312" w:cs="仿宋_GB2312"/>
                <w:color w:val="000000"/>
                <w:sz w:val="24"/>
                <w:szCs w:val="24"/>
              </w:rPr>
            </w:pPr>
          </w:p>
        </w:tc>
        <w:tc>
          <w:tcPr>
            <w:tcW w:w="1959" w:type="dxa"/>
            <w:vAlign w:val="center"/>
          </w:tcPr>
          <w:p>
            <w:pPr>
              <w:adjustRightInd w:val="0"/>
              <w:snapToGrid w:val="0"/>
              <w:spacing w:line="300" w:lineRule="exact"/>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马拉松赛事招商工作监管不足</w:t>
            </w:r>
          </w:p>
        </w:tc>
        <w:tc>
          <w:tcPr>
            <w:tcW w:w="5247" w:type="dxa"/>
            <w:vAlign w:val="center"/>
          </w:tcPr>
          <w:p>
            <w:pPr>
              <w:adjustRightInd w:val="0"/>
              <w:snapToGrid w:val="0"/>
              <w:spacing w:line="300" w:lineRule="exac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2016年1月—2019年8月，8个区主办了19场马拉松赛，均与承办方约定了主办方对承办方招商工作具有监管权力，但均未对承办方招商工作进行监管，不掌握赛事赞助情况，未对上报的赞助收入进行核实。</w:t>
            </w:r>
          </w:p>
        </w:tc>
        <w:tc>
          <w:tcPr>
            <w:tcW w:w="1721" w:type="dxa"/>
            <w:vMerge w:val="continue"/>
            <w:vAlign w:val="center"/>
          </w:tcPr>
          <w:p>
            <w:pPr>
              <w:adjustRightInd w:val="0"/>
              <w:snapToGrid w:val="0"/>
              <w:spacing w:line="300" w:lineRule="exact"/>
              <w:jc w:val="center"/>
              <w:rPr>
                <w:rFonts w:ascii="仿宋_GB2312" w:hAnsi="仿宋_GB2312" w:eastAsia="仿宋_GB2312" w:cs="仿宋_GB2312"/>
                <w:color w:val="000000"/>
                <w:sz w:val="24"/>
                <w:szCs w:val="24"/>
              </w:rPr>
            </w:pPr>
          </w:p>
        </w:tc>
        <w:tc>
          <w:tcPr>
            <w:tcW w:w="3310" w:type="dxa"/>
            <w:vAlign w:val="center"/>
          </w:tcPr>
          <w:p>
            <w:pPr>
              <w:adjustRightInd w:val="0"/>
              <w:snapToGrid w:val="0"/>
              <w:spacing w:line="300" w:lineRule="exac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审计要求，各区政府和新区管委会要严格履行对赛事的监管职能，对赛事规模和赛事费用进行科学测算和成本控制。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7" w:type="dxa"/>
            <w:vAlign w:val="center"/>
          </w:tcPr>
          <w:p>
            <w:pPr>
              <w:adjustRightInd w:val="0"/>
              <w:snapToGrid w:val="0"/>
              <w:spacing w:line="360" w:lineRule="exact"/>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31</w:t>
            </w:r>
          </w:p>
        </w:tc>
        <w:tc>
          <w:tcPr>
            <w:tcW w:w="970" w:type="dxa"/>
            <w:vMerge w:val="restart"/>
            <w:vAlign w:val="center"/>
          </w:tcPr>
          <w:p>
            <w:pPr>
              <w:adjustRightInd w:val="0"/>
              <w:snapToGrid w:val="0"/>
              <w:spacing w:line="360" w:lineRule="exact"/>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四、重大政策措施落实跟踪审计情况</w:t>
            </w:r>
          </w:p>
        </w:tc>
        <w:tc>
          <w:tcPr>
            <w:tcW w:w="1039" w:type="dxa"/>
            <w:vMerge w:val="restart"/>
            <w:vAlign w:val="center"/>
          </w:tcPr>
          <w:p>
            <w:pPr>
              <w:adjustRightInd w:val="0"/>
              <w:snapToGrid w:val="0"/>
              <w:spacing w:line="360" w:lineRule="exact"/>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（一）应对新冠肺炎疫情防控政策落实方面</w:t>
            </w:r>
          </w:p>
        </w:tc>
        <w:tc>
          <w:tcPr>
            <w:tcW w:w="1959" w:type="dxa"/>
            <w:vAlign w:val="center"/>
          </w:tcPr>
          <w:p>
            <w:pPr>
              <w:adjustRightInd w:val="0"/>
              <w:snapToGrid w:val="0"/>
              <w:spacing w:line="360" w:lineRule="exact"/>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疫情防控资金和捐赠款物使用管理情况</w:t>
            </w:r>
          </w:p>
        </w:tc>
        <w:tc>
          <w:tcPr>
            <w:tcW w:w="5247" w:type="dxa"/>
            <w:vAlign w:val="center"/>
          </w:tcPr>
          <w:p>
            <w:pPr>
              <w:adjustRightInd w:val="0"/>
              <w:snapToGrid w:val="0"/>
              <w:spacing w:line="360" w:lineRule="exac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截至2020年3月底，市本级共安排疫情防控资金22.06亿元，支出8.44亿元；各区（新区、合作区）共安排疫情防控资金16.21亿元，实际使用7.45亿元。各级慈善机构接受社会捐赠资金6.05亿元、物资1500.41万件，使用捐赠资金3.5亿元、物资1476.18万件。但疫情防控资金物资管理中也存在一些短板和弱项，如资金滞拨、物资积压等问题。</w:t>
            </w:r>
          </w:p>
        </w:tc>
        <w:tc>
          <w:tcPr>
            <w:tcW w:w="1721" w:type="dxa"/>
            <w:vAlign w:val="center"/>
          </w:tcPr>
          <w:p>
            <w:pPr>
              <w:adjustRightInd w:val="0"/>
              <w:snapToGrid w:val="0"/>
              <w:spacing w:line="360" w:lineRule="exact"/>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各区政府、新区管委会</w:t>
            </w:r>
          </w:p>
        </w:tc>
        <w:tc>
          <w:tcPr>
            <w:tcW w:w="3310" w:type="dxa"/>
            <w:vAlign w:val="center"/>
          </w:tcPr>
          <w:p>
            <w:pPr>
              <w:adjustRightInd w:val="0"/>
              <w:snapToGrid w:val="0"/>
              <w:spacing w:line="360" w:lineRule="exac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审计指出问题后，各区（新区、合作区）已完成整改资金1.5亿元，建立健全制度38项。审计要求，各有关单位要结合防控需求，建立高效快捷的工作机制，最大限度地发挥财政资金和捐赠款物的使用效益。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7" w:type="dxa"/>
            <w:vAlign w:val="center"/>
          </w:tcPr>
          <w:p>
            <w:pPr>
              <w:adjustRightInd w:val="0"/>
              <w:snapToGrid w:val="0"/>
              <w:spacing w:line="360" w:lineRule="exact"/>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32</w:t>
            </w:r>
          </w:p>
        </w:tc>
        <w:tc>
          <w:tcPr>
            <w:tcW w:w="970" w:type="dxa"/>
            <w:vMerge w:val="continue"/>
            <w:vAlign w:val="center"/>
          </w:tcPr>
          <w:p>
            <w:pPr>
              <w:adjustRightInd w:val="0"/>
              <w:snapToGrid w:val="0"/>
              <w:spacing w:line="360" w:lineRule="exact"/>
              <w:jc w:val="center"/>
              <w:rPr>
                <w:rFonts w:ascii="仿宋_GB2312" w:hAnsi="仿宋_GB2312" w:eastAsia="仿宋_GB2312" w:cs="仿宋_GB2312"/>
                <w:color w:val="000000"/>
                <w:sz w:val="24"/>
                <w:szCs w:val="24"/>
              </w:rPr>
            </w:pPr>
          </w:p>
        </w:tc>
        <w:tc>
          <w:tcPr>
            <w:tcW w:w="1039" w:type="dxa"/>
            <w:vMerge w:val="continue"/>
            <w:vAlign w:val="center"/>
          </w:tcPr>
          <w:p>
            <w:pPr>
              <w:adjustRightInd w:val="0"/>
              <w:snapToGrid w:val="0"/>
              <w:spacing w:line="360" w:lineRule="exact"/>
              <w:jc w:val="center"/>
              <w:rPr>
                <w:rFonts w:ascii="仿宋_GB2312" w:hAnsi="仿宋_GB2312" w:eastAsia="仿宋_GB2312" w:cs="仿宋_GB2312"/>
                <w:color w:val="000000"/>
                <w:sz w:val="24"/>
                <w:szCs w:val="24"/>
              </w:rPr>
            </w:pPr>
          </w:p>
        </w:tc>
        <w:tc>
          <w:tcPr>
            <w:tcW w:w="1959" w:type="dxa"/>
            <w:vAlign w:val="center"/>
          </w:tcPr>
          <w:p>
            <w:pPr>
              <w:adjustRightInd w:val="0"/>
              <w:snapToGrid w:val="0"/>
              <w:spacing w:line="360" w:lineRule="exact"/>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支持企业应对疫情共渡难关若干措施落实情况</w:t>
            </w:r>
          </w:p>
        </w:tc>
        <w:tc>
          <w:tcPr>
            <w:tcW w:w="5247" w:type="dxa"/>
            <w:vAlign w:val="center"/>
          </w:tcPr>
          <w:p>
            <w:pPr>
              <w:adjustRightInd w:val="0"/>
              <w:snapToGrid w:val="0"/>
              <w:spacing w:line="360" w:lineRule="exac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截至2020年5月中旬，各有关单位累计出台配套政策措施113项，惠及全市企业81万家，发放补贴59.82亿元、减免费用196亿元、延缴费用50.42亿元，为促进复工复产、支持企业共渡难关提供了有力保障。但审计发现，贯彻落实过程中存在未开展受疫情影响企业的认定工作、资金拨付不及时等问题。</w:t>
            </w:r>
          </w:p>
        </w:tc>
        <w:tc>
          <w:tcPr>
            <w:tcW w:w="1721" w:type="dxa"/>
            <w:vAlign w:val="center"/>
          </w:tcPr>
          <w:p>
            <w:pPr>
              <w:adjustRightInd w:val="0"/>
              <w:snapToGrid w:val="0"/>
              <w:spacing w:line="360" w:lineRule="exact"/>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市人力资源保障局，盐田、宝安、龙岗、光明区政府，大鹏新区、深汕合作区管委会</w:t>
            </w:r>
          </w:p>
        </w:tc>
        <w:tc>
          <w:tcPr>
            <w:tcW w:w="3310" w:type="dxa"/>
            <w:vAlign w:val="center"/>
          </w:tcPr>
          <w:p>
            <w:pPr>
              <w:adjustRightInd w:val="0"/>
              <w:snapToGrid w:val="0"/>
              <w:spacing w:line="360" w:lineRule="exac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审计要求，各有关单位要进一步完善配套措施，加强政策评估和跟踪问效，加快出台工作指引，尽快将相关资金拨付到位。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7" w:type="dxa"/>
            <w:vAlign w:val="center"/>
          </w:tcPr>
          <w:p>
            <w:pPr>
              <w:adjustRightInd w:val="0"/>
              <w:snapToGrid w:val="0"/>
              <w:spacing w:line="360" w:lineRule="exact"/>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33</w:t>
            </w:r>
          </w:p>
        </w:tc>
        <w:tc>
          <w:tcPr>
            <w:tcW w:w="970" w:type="dxa"/>
            <w:vMerge w:val="continue"/>
            <w:vAlign w:val="center"/>
          </w:tcPr>
          <w:p>
            <w:pPr>
              <w:adjustRightInd w:val="0"/>
              <w:snapToGrid w:val="0"/>
              <w:spacing w:line="360" w:lineRule="exact"/>
              <w:jc w:val="center"/>
              <w:rPr>
                <w:rFonts w:ascii="仿宋_GB2312" w:hAnsi="仿宋_GB2312" w:eastAsia="仿宋_GB2312" w:cs="仿宋_GB2312"/>
                <w:color w:val="000000"/>
                <w:sz w:val="24"/>
                <w:szCs w:val="24"/>
              </w:rPr>
            </w:pPr>
          </w:p>
        </w:tc>
        <w:tc>
          <w:tcPr>
            <w:tcW w:w="1039" w:type="dxa"/>
            <w:vAlign w:val="center"/>
          </w:tcPr>
          <w:p>
            <w:pPr>
              <w:adjustRightInd w:val="0"/>
              <w:snapToGrid w:val="0"/>
              <w:spacing w:line="360" w:lineRule="exact"/>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（二）人才安居政策落实方面</w:t>
            </w:r>
          </w:p>
        </w:tc>
        <w:tc>
          <w:tcPr>
            <w:tcW w:w="1959" w:type="dxa"/>
            <w:vAlign w:val="center"/>
          </w:tcPr>
          <w:p>
            <w:pPr>
              <w:adjustRightInd w:val="0"/>
              <w:snapToGrid w:val="0"/>
              <w:spacing w:line="360" w:lineRule="exact"/>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住房保障部门对人才住房监管不到位</w:t>
            </w:r>
          </w:p>
        </w:tc>
        <w:tc>
          <w:tcPr>
            <w:tcW w:w="5247" w:type="dxa"/>
            <w:vAlign w:val="center"/>
          </w:tcPr>
          <w:p>
            <w:pPr>
              <w:adjustRightInd w:val="0"/>
              <w:snapToGrid w:val="0"/>
              <w:spacing w:line="360" w:lineRule="exac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由于系统信息未及时更新等，住房保障部门对承租人情况无法做到动态监管，存在部分承租人不符合承租资格、部分房源违规登记为企业注册地址等问题。</w:t>
            </w:r>
          </w:p>
        </w:tc>
        <w:tc>
          <w:tcPr>
            <w:tcW w:w="1721" w:type="dxa"/>
            <w:vAlign w:val="center"/>
          </w:tcPr>
          <w:p>
            <w:pPr>
              <w:adjustRightInd w:val="0"/>
              <w:snapToGrid w:val="0"/>
              <w:spacing w:line="360" w:lineRule="exact"/>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市住房建设局，各区（新区）住房建设局</w:t>
            </w:r>
          </w:p>
        </w:tc>
        <w:tc>
          <w:tcPr>
            <w:tcW w:w="3310" w:type="dxa"/>
            <w:vAlign w:val="center"/>
          </w:tcPr>
          <w:p>
            <w:pPr>
              <w:adjustRightInd w:val="0"/>
              <w:snapToGrid w:val="0"/>
              <w:spacing w:line="360" w:lineRule="exac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审计指出问题后，各相关单位积极核查承租人资格、企业注册地址违规登记等问题并及时进行整改。审计要求，市区两级住房保障部门要认真履行人才住房监管职责，严格审核人才住房资格，及时查处违法违规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0" w:hRule="atLeast"/>
          <w:jc w:val="center"/>
        </w:trPr>
        <w:tc>
          <w:tcPr>
            <w:tcW w:w="927" w:type="dxa"/>
            <w:vAlign w:val="center"/>
          </w:tcPr>
          <w:p>
            <w:pPr>
              <w:adjustRightInd w:val="0"/>
              <w:snapToGrid w:val="0"/>
              <w:spacing w:line="360" w:lineRule="exact"/>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34</w:t>
            </w:r>
          </w:p>
        </w:tc>
        <w:tc>
          <w:tcPr>
            <w:tcW w:w="970" w:type="dxa"/>
            <w:vMerge w:val="restart"/>
            <w:vAlign w:val="center"/>
          </w:tcPr>
          <w:p>
            <w:pPr>
              <w:adjustRightInd w:val="0"/>
              <w:snapToGrid w:val="0"/>
              <w:spacing w:line="360" w:lineRule="exact"/>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四、重大政策措施落实跟踪审计情况</w:t>
            </w:r>
          </w:p>
        </w:tc>
        <w:tc>
          <w:tcPr>
            <w:tcW w:w="1039" w:type="dxa"/>
            <w:vAlign w:val="center"/>
          </w:tcPr>
          <w:p>
            <w:pPr>
              <w:adjustRightInd w:val="0"/>
              <w:snapToGrid w:val="0"/>
              <w:spacing w:line="360" w:lineRule="exact"/>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（二）人才安居政策落实方面</w:t>
            </w:r>
          </w:p>
        </w:tc>
        <w:tc>
          <w:tcPr>
            <w:tcW w:w="1959" w:type="dxa"/>
            <w:vAlign w:val="center"/>
          </w:tcPr>
          <w:p>
            <w:pPr>
              <w:adjustRightInd w:val="0"/>
              <w:snapToGrid w:val="0"/>
              <w:spacing w:line="360" w:lineRule="exact"/>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人才住房专营机构难以履行监管义务</w:t>
            </w:r>
          </w:p>
        </w:tc>
        <w:tc>
          <w:tcPr>
            <w:tcW w:w="5247" w:type="dxa"/>
            <w:vAlign w:val="center"/>
          </w:tcPr>
          <w:p>
            <w:pPr>
              <w:adjustRightInd w:val="0"/>
              <w:snapToGrid w:val="0"/>
              <w:spacing w:line="360" w:lineRule="exac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深圳市人才安居集团有限公司为全市人才住房专营机构。人才住房租赁合同约定房源的后续监管责任由市人才安居集团及其区公司承担，并规定承租人出现擅自转租、互换或出借人才住房等情形，可根据合同约定或法定情形解除合同。由于市人才安居集团及其区公司无监督执法权，住房保障部门等相关管理部门也未将监督管理责任进行委托，部分房源信息数据表仅登记了承租企业的住房专员信息，导致监督管理条款难以得到有效履行。</w:t>
            </w:r>
          </w:p>
        </w:tc>
        <w:tc>
          <w:tcPr>
            <w:tcW w:w="1721" w:type="dxa"/>
            <w:vAlign w:val="center"/>
          </w:tcPr>
          <w:p>
            <w:pPr>
              <w:adjustRightInd w:val="0"/>
              <w:snapToGrid w:val="0"/>
              <w:spacing w:line="360" w:lineRule="exact"/>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市人才安居集团</w:t>
            </w:r>
          </w:p>
        </w:tc>
        <w:tc>
          <w:tcPr>
            <w:tcW w:w="3310" w:type="dxa"/>
            <w:vAlign w:val="center"/>
          </w:tcPr>
          <w:p>
            <w:pPr>
              <w:adjustRightInd w:val="0"/>
              <w:snapToGrid w:val="0"/>
              <w:spacing w:line="360" w:lineRule="exac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审计指出问题后，市人才安居集团加强对人才住房的监管。审计要求，市人才安居集团要加强与住房保障部门的沟通协调，积极探索人才住房管理新模式，规范合同内容，及时完整录入入住人信息，不断提高人才住房建设运营管理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0" w:hRule="atLeast"/>
          <w:jc w:val="center"/>
        </w:trPr>
        <w:tc>
          <w:tcPr>
            <w:tcW w:w="927" w:type="dxa"/>
            <w:vAlign w:val="center"/>
          </w:tcPr>
          <w:p>
            <w:pPr>
              <w:adjustRightInd w:val="0"/>
              <w:snapToGrid w:val="0"/>
              <w:spacing w:line="360" w:lineRule="exact"/>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35</w:t>
            </w:r>
          </w:p>
        </w:tc>
        <w:tc>
          <w:tcPr>
            <w:tcW w:w="970" w:type="dxa"/>
            <w:vMerge w:val="continue"/>
            <w:vAlign w:val="center"/>
          </w:tcPr>
          <w:p>
            <w:pPr>
              <w:adjustRightInd w:val="0"/>
              <w:snapToGrid w:val="0"/>
              <w:spacing w:line="360" w:lineRule="exact"/>
              <w:jc w:val="center"/>
              <w:rPr>
                <w:rFonts w:ascii="仿宋_GB2312" w:hAnsi="仿宋_GB2312" w:eastAsia="仿宋_GB2312" w:cs="仿宋_GB2312"/>
                <w:color w:val="000000"/>
                <w:sz w:val="24"/>
                <w:szCs w:val="24"/>
              </w:rPr>
            </w:pPr>
          </w:p>
        </w:tc>
        <w:tc>
          <w:tcPr>
            <w:tcW w:w="1039" w:type="dxa"/>
            <w:vAlign w:val="center"/>
          </w:tcPr>
          <w:p>
            <w:pPr>
              <w:adjustRightInd w:val="0"/>
              <w:snapToGrid w:val="0"/>
              <w:spacing w:line="360" w:lineRule="exact"/>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（三）优化营商环境政策落实方面</w:t>
            </w:r>
          </w:p>
        </w:tc>
        <w:tc>
          <w:tcPr>
            <w:tcW w:w="1959" w:type="dxa"/>
            <w:vAlign w:val="center"/>
          </w:tcPr>
          <w:p>
            <w:pPr>
              <w:adjustRightInd w:val="0"/>
              <w:snapToGrid w:val="0"/>
              <w:spacing w:line="360" w:lineRule="exact"/>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网上政务服务实施情况</w:t>
            </w:r>
          </w:p>
        </w:tc>
        <w:tc>
          <w:tcPr>
            <w:tcW w:w="5247" w:type="dxa"/>
            <w:vAlign w:val="center"/>
          </w:tcPr>
          <w:p>
            <w:pPr>
              <w:adjustRightInd w:val="0"/>
              <w:snapToGrid w:val="0"/>
              <w:spacing w:line="360" w:lineRule="exac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一是“马上办”推行情况与政策要求存在一定差距。受管理系统设置影响，罗湖、宝安、龙岗和龙华区政府在推行“马上办”工作的力度上与要求存在差异，上述4个区“马上办”事项分别为163项、146项、164项、181项，分别占比23%、17.4%、22.1%、22%，均低于2019年底前全市需达到的25%。</w:t>
            </w:r>
          </w:p>
        </w:tc>
        <w:tc>
          <w:tcPr>
            <w:tcW w:w="1721" w:type="dxa"/>
            <w:vAlign w:val="center"/>
          </w:tcPr>
          <w:p>
            <w:pPr>
              <w:adjustRightInd w:val="0"/>
              <w:snapToGrid w:val="0"/>
              <w:spacing w:line="360" w:lineRule="exact"/>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市政务服务数据管理局，罗湖、宝安、龙岗、龙华区政府</w:t>
            </w:r>
          </w:p>
        </w:tc>
        <w:tc>
          <w:tcPr>
            <w:tcW w:w="3310" w:type="dxa"/>
            <w:vAlign w:val="center"/>
          </w:tcPr>
          <w:p>
            <w:pPr>
              <w:adjustRightInd w:val="0"/>
              <w:snapToGrid w:val="0"/>
              <w:spacing w:line="360" w:lineRule="exac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审计指出问题后，罗湖、宝安、龙岗和龙华区政府进一步优化部分事项办事程序，提高“马上办”事项数量。审计要求，罗湖、宝安、龙岗、龙华区政府和市政务服务数据管理局要对照标准和要求，成熟一批、录入一批、自主发布、动态管理，进一步提高“马上办”事项覆盖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7" w:type="dxa"/>
            <w:vAlign w:val="center"/>
          </w:tcPr>
          <w:p>
            <w:pPr>
              <w:adjustRightInd w:val="0"/>
              <w:snapToGrid w:val="0"/>
              <w:spacing w:line="330" w:lineRule="exact"/>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36</w:t>
            </w:r>
          </w:p>
        </w:tc>
        <w:tc>
          <w:tcPr>
            <w:tcW w:w="970" w:type="dxa"/>
            <w:vMerge w:val="restart"/>
            <w:vAlign w:val="center"/>
          </w:tcPr>
          <w:p>
            <w:pPr>
              <w:adjustRightInd w:val="0"/>
              <w:snapToGrid w:val="0"/>
              <w:spacing w:line="330" w:lineRule="exact"/>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四、重大政策措施落实跟踪审计情况</w:t>
            </w:r>
          </w:p>
        </w:tc>
        <w:tc>
          <w:tcPr>
            <w:tcW w:w="1039" w:type="dxa"/>
            <w:vMerge w:val="restart"/>
            <w:vAlign w:val="center"/>
          </w:tcPr>
          <w:p>
            <w:pPr>
              <w:adjustRightInd w:val="0"/>
              <w:snapToGrid w:val="0"/>
              <w:spacing w:line="330" w:lineRule="exact"/>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（三）优化营商环境政策落实方面</w:t>
            </w:r>
          </w:p>
        </w:tc>
        <w:tc>
          <w:tcPr>
            <w:tcW w:w="1959" w:type="dxa"/>
            <w:vAlign w:val="center"/>
          </w:tcPr>
          <w:p>
            <w:pPr>
              <w:adjustRightInd w:val="0"/>
              <w:snapToGrid w:val="0"/>
              <w:spacing w:line="330" w:lineRule="exact"/>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网上政务服务实施情况</w:t>
            </w:r>
          </w:p>
        </w:tc>
        <w:tc>
          <w:tcPr>
            <w:tcW w:w="5247" w:type="dxa"/>
            <w:vAlign w:val="center"/>
          </w:tcPr>
          <w:p>
            <w:pPr>
              <w:adjustRightInd w:val="0"/>
              <w:snapToGrid w:val="0"/>
              <w:spacing w:line="330" w:lineRule="exac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二是4项行政职权事项调整后公开信息不完整。由市级主管部门负责实施的4项行政职权事项调整至区级实施后，未在广东政务服务网上显示可办理。</w:t>
            </w:r>
          </w:p>
        </w:tc>
        <w:tc>
          <w:tcPr>
            <w:tcW w:w="1721" w:type="dxa"/>
            <w:vAlign w:val="center"/>
          </w:tcPr>
          <w:p>
            <w:pPr>
              <w:adjustRightInd w:val="0"/>
              <w:snapToGrid w:val="0"/>
              <w:spacing w:line="330" w:lineRule="exact"/>
              <w:jc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sz w:val="24"/>
                <w:szCs w:val="24"/>
              </w:rPr>
              <w:t>市交通运输局，各区政府和新区管委会</w:t>
            </w:r>
          </w:p>
        </w:tc>
        <w:tc>
          <w:tcPr>
            <w:tcW w:w="3310" w:type="dxa"/>
            <w:vAlign w:val="center"/>
          </w:tcPr>
          <w:p>
            <w:pPr>
              <w:adjustRightInd w:val="0"/>
              <w:snapToGrid w:val="0"/>
              <w:spacing w:line="330" w:lineRule="exact"/>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sz w:val="24"/>
                <w:szCs w:val="24"/>
              </w:rPr>
              <w:t>审计指出问题后，各相关单位已完成相关事项的录入和发布。审计要求，各区政府和新区管委会要及时在管理系统录入相关事项，做到同步发布更新。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7" w:type="dxa"/>
            <w:vAlign w:val="center"/>
          </w:tcPr>
          <w:p>
            <w:pPr>
              <w:adjustRightInd w:val="0"/>
              <w:snapToGrid w:val="0"/>
              <w:spacing w:line="330" w:lineRule="exact"/>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37</w:t>
            </w:r>
          </w:p>
        </w:tc>
        <w:tc>
          <w:tcPr>
            <w:tcW w:w="970" w:type="dxa"/>
            <w:vMerge w:val="continue"/>
            <w:vAlign w:val="center"/>
          </w:tcPr>
          <w:p>
            <w:pPr>
              <w:adjustRightInd w:val="0"/>
              <w:snapToGrid w:val="0"/>
              <w:spacing w:line="330" w:lineRule="exact"/>
              <w:jc w:val="center"/>
              <w:rPr>
                <w:rFonts w:ascii="仿宋_GB2312" w:hAnsi="仿宋_GB2312" w:eastAsia="仿宋_GB2312" w:cs="仿宋_GB2312"/>
                <w:color w:val="000000"/>
                <w:sz w:val="24"/>
                <w:szCs w:val="24"/>
              </w:rPr>
            </w:pPr>
          </w:p>
        </w:tc>
        <w:tc>
          <w:tcPr>
            <w:tcW w:w="1039" w:type="dxa"/>
            <w:vMerge w:val="continue"/>
            <w:vAlign w:val="center"/>
          </w:tcPr>
          <w:p>
            <w:pPr>
              <w:adjustRightInd w:val="0"/>
              <w:snapToGrid w:val="0"/>
              <w:spacing w:line="330" w:lineRule="exact"/>
              <w:jc w:val="center"/>
              <w:rPr>
                <w:rFonts w:ascii="仿宋_GB2312" w:hAnsi="仿宋_GB2312" w:eastAsia="仿宋_GB2312" w:cs="仿宋_GB2312"/>
                <w:color w:val="000000"/>
                <w:sz w:val="24"/>
                <w:szCs w:val="24"/>
              </w:rPr>
            </w:pPr>
          </w:p>
        </w:tc>
        <w:tc>
          <w:tcPr>
            <w:tcW w:w="1959" w:type="dxa"/>
            <w:vMerge w:val="restart"/>
            <w:vAlign w:val="center"/>
          </w:tcPr>
          <w:p>
            <w:pPr>
              <w:adjustRightInd w:val="0"/>
              <w:snapToGrid w:val="0"/>
              <w:spacing w:line="330" w:lineRule="exact"/>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创新型产业用房建设和管理情况</w:t>
            </w:r>
          </w:p>
        </w:tc>
        <w:tc>
          <w:tcPr>
            <w:tcW w:w="5247" w:type="dxa"/>
            <w:vAlign w:val="center"/>
          </w:tcPr>
          <w:p>
            <w:pPr>
              <w:adjustRightInd w:val="0"/>
              <w:snapToGrid w:val="0"/>
              <w:spacing w:line="330" w:lineRule="exac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一是部分创新型产业用房存在转租分租现象。由于管理主体未严格履行监管职责，部分创新型产业用房被入驻企业违规转租分租，涉及面积2.13万平方米。</w:t>
            </w:r>
          </w:p>
        </w:tc>
        <w:tc>
          <w:tcPr>
            <w:tcW w:w="1721" w:type="dxa"/>
            <w:vAlign w:val="center"/>
          </w:tcPr>
          <w:p>
            <w:pPr>
              <w:adjustRightInd w:val="0"/>
              <w:snapToGrid w:val="0"/>
              <w:spacing w:line="330" w:lineRule="exact"/>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市科技创新委、工业和信息化局</w:t>
            </w:r>
          </w:p>
        </w:tc>
        <w:tc>
          <w:tcPr>
            <w:tcW w:w="3310" w:type="dxa"/>
            <w:vAlign w:val="center"/>
          </w:tcPr>
          <w:p>
            <w:pPr>
              <w:adjustRightInd w:val="0"/>
              <w:snapToGrid w:val="0"/>
              <w:spacing w:line="330" w:lineRule="exac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审计要求，市科技创新委、工业和信息化局要严格按照创新型产业用房管理办法的规定制定整改方案，落实追究责任，履行监管职责。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7" w:type="dxa"/>
            <w:vAlign w:val="center"/>
          </w:tcPr>
          <w:p>
            <w:pPr>
              <w:adjustRightInd w:val="0"/>
              <w:snapToGrid w:val="0"/>
              <w:spacing w:line="330" w:lineRule="exact"/>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38</w:t>
            </w:r>
          </w:p>
        </w:tc>
        <w:tc>
          <w:tcPr>
            <w:tcW w:w="970" w:type="dxa"/>
            <w:vMerge w:val="continue"/>
            <w:vAlign w:val="center"/>
          </w:tcPr>
          <w:p>
            <w:pPr>
              <w:adjustRightInd w:val="0"/>
              <w:snapToGrid w:val="0"/>
              <w:spacing w:line="330" w:lineRule="exact"/>
              <w:jc w:val="center"/>
              <w:rPr>
                <w:rFonts w:ascii="仿宋_GB2312" w:hAnsi="仿宋_GB2312" w:eastAsia="仿宋_GB2312" w:cs="仿宋_GB2312"/>
                <w:color w:val="000000"/>
                <w:sz w:val="24"/>
                <w:szCs w:val="24"/>
              </w:rPr>
            </w:pPr>
          </w:p>
        </w:tc>
        <w:tc>
          <w:tcPr>
            <w:tcW w:w="1039" w:type="dxa"/>
            <w:vMerge w:val="continue"/>
            <w:vAlign w:val="center"/>
          </w:tcPr>
          <w:p>
            <w:pPr>
              <w:adjustRightInd w:val="0"/>
              <w:snapToGrid w:val="0"/>
              <w:spacing w:line="330" w:lineRule="exact"/>
              <w:jc w:val="center"/>
              <w:rPr>
                <w:rFonts w:ascii="仿宋_GB2312" w:hAnsi="仿宋_GB2312" w:eastAsia="仿宋_GB2312" w:cs="仿宋_GB2312"/>
                <w:color w:val="000000"/>
                <w:sz w:val="24"/>
                <w:szCs w:val="24"/>
              </w:rPr>
            </w:pPr>
          </w:p>
        </w:tc>
        <w:tc>
          <w:tcPr>
            <w:tcW w:w="1959" w:type="dxa"/>
            <w:vMerge w:val="continue"/>
            <w:vAlign w:val="center"/>
          </w:tcPr>
          <w:p>
            <w:pPr>
              <w:adjustRightInd w:val="0"/>
              <w:snapToGrid w:val="0"/>
              <w:spacing w:line="330" w:lineRule="exact"/>
              <w:jc w:val="center"/>
              <w:rPr>
                <w:rFonts w:ascii="仿宋_GB2312" w:hAnsi="仿宋_GB2312" w:eastAsia="仿宋_GB2312" w:cs="仿宋_GB2312"/>
                <w:color w:val="000000"/>
                <w:sz w:val="24"/>
                <w:szCs w:val="24"/>
              </w:rPr>
            </w:pPr>
          </w:p>
        </w:tc>
        <w:tc>
          <w:tcPr>
            <w:tcW w:w="5247" w:type="dxa"/>
            <w:vAlign w:val="center"/>
          </w:tcPr>
          <w:p>
            <w:pPr>
              <w:adjustRightInd w:val="0"/>
              <w:snapToGrid w:val="0"/>
              <w:spacing w:line="330" w:lineRule="exac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二是部分入驻企业不符合入驻条件。由于管理主体对日常运营管理机构监管不到位，部分不符合入驻条件的企业入驻创新型产业用房，涉及面积4.4万平方米。</w:t>
            </w:r>
          </w:p>
        </w:tc>
        <w:tc>
          <w:tcPr>
            <w:tcW w:w="1721" w:type="dxa"/>
            <w:vAlign w:val="center"/>
          </w:tcPr>
          <w:p>
            <w:pPr>
              <w:adjustRightInd w:val="0"/>
              <w:snapToGrid w:val="0"/>
              <w:spacing w:line="330" w:lineRule="exact"/>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市科技创新委、国资委</w:t>
            </w:r>
          </w:p>
        </w:tc>
        <w:tc>
          <w:tcPr>
            <w:tcW w:w="3310" w:type="dxa"/>
            <w:vAlign w:val="center"/>
          </w:tcPr>
          <w:p>
            <w:pPr>
              <w:adjustRightInd w:val="0"/>
              <w:snapToGrid w:val="0"/>
              <w:spacing w:line="330" w:lineRule="exac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审计要求，市科技创新委、国资委要进一步明确入驻条件，责成运营管理机构严格引入企业，对不符合入驻条件的要按规定及时清理。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7" w:type="dxa"/>
            <w:vAlign w:val="center"/>
          </w:tcPr>
          <w:p>
            <w:pPr>
              <w:adjustRightInd w:val="0"/>
              <w:snapToGrid w:val="0"/>
              <w:spacing w:line="330" w:lineRule="exact"/>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39</w:t>
            </w:r>
          </w:p>
        </w:tc>
        <w:tc>
          <w:tcPr>
            <w:tcW w:w="970" w:type="dxa"/>
            <w:vMerge w:val="continue"/>
            <w:vAlign w:val="center"/>
          </w:tcPr>
          <w:p>
            <w:pPr>
              <w:adjustRightInd w:val="0"/>
              <w:snapToGrid w:val="0"/>
              <w:spacing w:line="330" w:lineRule="exact"/>
              <w:jc w:val="center"/>
              <w:rPr>
                <w:rFonts w:ascii="仿宋_GB2312" w:hAnsi="仿宋_GB2312" w:eastAsia="仿宋_GB2312" w:cs="仿宋_GB2312"/>
                <w:color w:val="000000"/>
                <w:sz w:val="24"/>
                <w:szCs w:val="24"/>
              </w:rPr>
            </w:pPr>
          </w:p>
        </w:tc>
        <w:tc>
          <w:tcPr>
            <w:tcW w:w="1039" w:type="dxa"/>
            <w:vAlign w:val="center"/>
          </w:tcPr>
          <w:p>
            <w:pPr>
              <w:adjustRightInd w:val="0"/>
              <w:snapToGrid w:val="0"/>
              <w:spacing w:line="330" w:lineRule="exact"/>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（四）“稳外资”政策落实方面</w:t>
            </w:r>
          </w:p>
        </w:tc>
        <w:tc>
          <w:tcPr>
            <w:tcW w:w="1959" w:type="dxa"/>
            <w:vAlign w:val="center"/>
          </w:tcPr>
          <w:p>
            <w:pPr>
              <w:adjustRightInd w:val="0"/>
              <w:snapToGrid w:val="0"/>
              <w:spacing w:line="330" w:lineRule="exact"/>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前海蛇口自贸片区内外商投资企业事中事后监督检查工作存在缺位</w:t>
            </w:r>
          </w:p>
        </w:tc>
        <w:tc>
          <w:tcPr>
            <w:tcW w:w="5247" w:type="dxa"/>
            <w:vAlign w:val="center"/>
          </w:tcPr>
          <w:p>
            <w:pPr>
              <w:adjustRightInd w:val="0"/>
              <w:snapToGrid w:val="0"/>
              <w:spacing w:line="330" w:lineRule="exac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前海蛇口自贸片区相关机构未按要求对区域内外商投资企业的设立、变更备案等，开展事中事后监督检查工作。</w:t>
            </w:r>
          </w:p>
        </w:tc>
        <w:tc>
          <w:tcPr>
            <w:tcW w:w="1721" w:type="dxa"/>
            <w:vAlign w:val="center"/>
          </w:tcPr>
          <w:p>
            <w:pPr>
              <w:adjustRightInd w:val="0"/>
              <w:snapToGrid w:val="0"/>
              <w:spacing w:line="330" w:lineRule="exact"/>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南山区政府、前海管理局</w:t>
            </w:r>
          </w:p>
        </w:tc>
        <w:tc>
          <w:tcPr>
            <w:tcW w:w="3310" w:type="dxa"/>
            <w:vAlign w:val="center"/>
          </w:tcPr>
          <w:p>
            <w:pPr>
              <w:adjustRightInd w:val="0"/>
              <w:snapToGrid w:val="0"/>
              <w:spacing w:line="330" w:lineRule="exac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审计指出问题后，南山区政府继续加快推进商务等7个领域执法工作的承接，前海蛇口自贸片区综合行政执法局做好事中事后监管检查工作。审计要求，南山区政府要会同前海管理局等单位尽快完成执法工作的承接，理顺外商投资企业事中事后监管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7" w:type="dxa"/>
            <w:vAlign w:val="center"/>
          </w:tcPr>
          <w:p>
            <w:pPr>
              <w:adjustRightInd w:val="0"/>
              <w:snapToGrid w:val="0"/>
              <w:spacing w:line="320" w:lineRule="exact"/>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40</w:t>
            </w:r>
          </w:p>
        </w:tc>
        <w:tc>
          <w:tcPr>
            <w:tcW w:w="970" w:type="dxa"/>
            <w:vAlign w:val="center"/>
          </w:tcPr>
          <w:p>
            <w:pPr>
              <w:adjustRightInd w:val="0"/>
              <w:snapToGrid w:val="0"/>
              <w:spacing w:line="320" w:lineRule="exact"/>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四、重大政策措施落实跟踪审计情况</w:t>
            </w:r>
          </w:p>
        </w:tc>
        <w:tc>
          <w:tcPr>
            <w:tcW w:w="1039" w:type="dxa"/>
            <w:vAlign w:val="center"/>
          </w:tcPr>
          <w:p>
            <w:pPr>
              <w:adjustRightInd w:val="0"/>
              <w:snapToGrid w:val="0"/>
              <w:spacing w:line="320" w:lineRule="exact"/>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（四）“稳外资”政策落实方面</w:t>
            </w:r>
          </w:p>
        </w:tc>
        <w:tc>
          <w:tcPr>
            <w:tcW w:w="1959" w:type="dxa"/>
            <w:vAlign w:val="center"/>
          </w:tcPr>
          <w:p>
            <w:pPr>
              <w:adjustRightInd w:val="0"/>
              <w:snapToGrid w:val="0"/>
              <w:spacing w:line="320" w:lineRule="exact"/>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办理外商投资企业设立手续时间超过规定时限</w:t>
            </w:r>
          </w:p>
        </w:tc>
        <w:tc>
          <w:tcPr>
            <w:tcW w:w="5247" w:type="dxa"/>
            <w:vAlign w:val="center"/>
          </w:tcPr>
          <w:p>
            <w:pPr>
              <w:adjustRightInd w:val="0"/>
              <w:snapToGrid w:val="0"/>
              <w:spacing w:line="320" w:lineRule="exac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2018年1月—2019年9月，由于申请人提交材料不全或不符合法定形式，且未在承诺期限内补齐材料，窗口受理人员未及时在系统中驳回处理，导致业务办理超过5个工作日，涉及39家外商投资企业。</w:t>
            </w:r>
          </w:p>
        </w:tc>
        <w:tc>
          <w:tcPr>
            <w:tcW w:w="1721" w:type="dxa"/>
            <w:vAlign w:val="center"/>
          </w:tcPr>
          <w:p>
            <w:pPr>
              <w:adjustRightInd w:val="0"/>
              <w:snapToGrid w:val="0"/>
              <w:spacing w:line="320" w:lineRule="exact"/>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市市场监管局</w:t>
            </w:r>
          </w:p>
        </w:tc>
        <w:tc>
          <w:tcPr>
            <w:tcW w:w="3310" w:type="dxa"/>
            <w:vAlign w:val="center"/>
          </w:tcPr>
          <w:p>
            <w:pPr>
              <w:adjustRightInd w:val="0"/>
              <w:snapToGrid w:val="0"/>
              <w:spacing w:line="320" w:lineRule="exac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审计指出问题后，市市场监管局改进业务系统、开发可视化系统监测平台。审计要求，市市场监管局要进一步优化业务系统、提升窗口人员业务能力，确保在规定时限内办结外商投资企业设立业务。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7" w:type="dxa"/>
            <w:vAlign w:val="center"/>
          </w:tcPr>
          <w:p>
            <w:pPr>
              <w:adjustRightInd w:val="0"/>
              <w:snapToGrid w:val="0"/>
              <w:spacing w:line="320" w:lineRule="exact"/>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41</w:t>
            </w:r>
          </w:p>
        </w:tc>
        <w:tc>
          <w:tcPr>
            <w:tcW w:w="970" w:type="dxa"/>
            <w:vMerge w:val="restart"/>
            <w:vAlign w:val="center"/>
          </w:tcPr>
          <w:p>
            <w:pPr>
              <w:adjustRightInd w:val="0"/>
              <w:snapToGrid w:val="0"/>
              <w:spacing w:line="320" w:lineRule="exact"/>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五、重大专项审计情况</w:t>
            </w:r>
          </w:p>
        </w:tc>
        <w:tc>
          <w:tcPr>
            <w:tcW w:w="1039" w:type="dxa"/>
            <w:vMerge w:val="restart"/>
            <w:vAlign w:val="center"/>
          </w:tcPr>
          <w:p>
            <w:pPr>
              <w:adjustRightInd w:val="0"/>
              <w:snapToGrid w:val="0"/>
              <w:spacing w:line="320" w:lineRule="exact"/>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（一）三大攻坚战推进落实情况</w:t>
            </w:r>
          </w:p>
        </w:tc>
        <w:tc>
          <w:tcPr>
            <w:tcW w:w="1959" w:type="dxa"/>
            <w:vMerge w:val="restart"/>
            <w:vAlign w:val="center"/>
          </w:tcPr>
          <w:p>
            <w:pPr>
              <w:adjustRightInd w:val="0"/>
              <w:snapToGrid w:val="0"/>
              <w:spacing w:line="320" w:lineRule="exact"/>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风险补偿金贷款项目库审核不严</w:t>
            </w:r>
          </w:p>
        </w:tc>
        <w:tc>
          <w:tcPr>
            <w:tcW w:w="5247" w:type="dxa"/>
            <w:vAlign w:val="center"/>
          </w:tcPr>
          <w:p>
            <w:pPr>
              <w:adjustRightInd w:val="0"/>
              <w:snapToGrid w:val="0"/>
              <w:spacing w:line="320" w:lineRule="exact"/>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sz w:val="24"/>
                <w:szCs w:val="24"/>
              </w:rPr>
              <w:t>一是入库项目存在大型企业、金融和房地产类企业等非政策扶持对象。741家入库企业不属于扶持范围，涉及项目1198个。</w:t>
            </w:r>
          </w:p>
        </w:tc>
        <w:tc>
          <w:tcPr>
            <w:tcW w:w="1721" w:type="dxa"/>
            <w:vMerge w:val="restart"/>
            <w:vAlign w:val="center"/>
          </w:tcPr>
          <w:p>
            <w:pPr>
              <w:adjustRightInd w:val="0"/>
              <w:snapToGrid w:val="0"/>
              <w:spacing w:line="320" w:lineRule="exact"/>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市工业和信息化局</w:t>
            </w:r>
          </w:p>
        </w:tc>
        <w:tc>
          <w:tcPr>
            <w:tcW w:w="3310" w:type="dxa"/>
            <w:vMerge w:val="restart"/>
            <w:vAlign w:val="center"/>
          </w:tcPr>
          <w:p>
            <w:pPr>
              <w:adjustRightInd w:val="0"/>
              <w:snapToGrid w:val="0"/>
              <w:spacing w:line="320" w:lineRule="exac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审计要求，市工业和信息化局要加强审核监管，优化政策条款，突出扶持重点，限制非政策扶持对象入库，切实缓解中小微企业融资难融资贵问题。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7" w:type="dxa"/>
            <w:vAlign w:val="center"/>
          </w:tcPr>
          <w:p>
            <w:pPr>
              <w:adjustRightInd w:val="0"/>
              <w:snapToGrid w:val="0"/>
              <w:spacing w:line="320" w:lineRule="exact"/>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42</w:t>
            </w:r>
          </w:p>
        </w:tc>
        <w:tc>
          <w:tcPr>
            <w:tcW w:w="970" w:type="dxa"/>
            <w:vMerge w:val="continue"/>
            <w:vAlign w:val="center"/>
          </w:tcPr>
          <w:p>
            <w:pPr>
              <w:adjustRightInd w:val="0"/>
              <w:snapToGrid w:val="0"/>
              <w:spacing w:line="320" w:lineRule="exact"/>
              <w:jc w:val="center"/>
              <w:rPr>
                <w:rFonts w:ascii="仿宋_GB2312" w:hAnsi="仿宋_GB2312" w:eastAsia="仿宋_GB2312" w:cs="仿宋_GB2312"/>
                <w:color w:val="000000"/>
                <w:sz w:val="24"/>
                <w:szCs w:val="24"/>
              </w:rPr>
            </w:pPr>
          </w:p>
        </w:tc>
        <w:tc>
          <w:tcPr>
            <w:tcW w:w="1039" w:type="dxa"/>
            <w:vMerge w:val="continue"/>
            <w:vAlign w:val="center"/>
          </w:tcPr>
          <w:p>
            <w:pPr>
              <w:adjustRightInd w:val="0"/>
              <w:snapToGrid w:val="0"/>
              <w:spacing w:line="320" w:lineRule="exact"/>
              <w:jc w:val="center"/>
              <w:rPr>
                <w:rFonts w:ascii="仿宋_GB2312" w:hAnsi="仿宋_GB2312" w:eastAsia="仿宋_GB2312" w:cs="仿宋_GB2312"/>
                <w:color w:val="000000"/>
                <w:sz w:val="24"/>
                <w:szCs w:val="24"/>
              </w:rPr>
            </w:pPr>
          </w:p>
        </w:tc>
        <w:tc>
          <w:tcPr>
            <w:tcW w:w="1959" w:type="dxa"/>
            <w:vMerge w:val="continue"/>
            <w:vAlign w:val="center"/>
          </w:tcPr>
          <w:p>
            <w:pPr>
              <w:adjustRightInd w:val="0"/>
              <w:snapToGrid w:val="0"/>
              <w:spacing w:line="320" w:lineRule="exact"/>
              <w:jc w:val="center"/>
              <w:rPr>
                <w:rFonts w:ascii="仿宋_GB2312" w:hAnsi="仿宋_GB2312" w:eastAsia="仿宋_GB2312" w:cs="仿宋_GB2312"/>
                <w:color w:val="000000"/>
                <w:sz w:val="24"/>
                <w:szCs w:val="24"/>
              </w:rPr>
            </w:pPr>
          </w:p>
        </w:tc>
        <w:tc>
          <w:tcPr>
            <w:tcW w:w="5247" w:type="dxa"/>
            <w:vAlign w:val="center"/>
          </w:tcPr>
          <w:p>
            <w:pPr>
              <w:adjustRightInd w:val="0"/>
              <w:snapToGrid w:val="0"/>
              <w:spacing w:line="320" w:lineRule="exac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二是未突出对战略性新兴产业和未来产业等重点行业的扶持目标。入库企业集中分布在批发零售业和制造业，数量占比分别为43%和23%。</w:t>
            </w:r>
          </w:p>
        </w:tc>
        <w:tc>
          <w:tcPr>
            <w:tcW w:w="1721" w:type="dxa"/>
            <w:vMerge w:val="continue"/>
            <w:vAlign w:val="center"/>
          </w:tcPr>
          <w:p>
            <w:pPr>
              <w:adjustRightInd w:val="0"/>
              <w:snapToGrid w:val="0"/>
              <w:spacing w:line="320" w:lineRule="exact"/>
              <w:jc w:val="center"/>
              <w:rPr>
                <w:rFonts w:ascii="仿宋_GB2312" w:hAnsi="仿宋_GB2312" w:eastAsia="仿宋_GB2312" w:cs="仿宋_GB2312"/>
                <w:color w:val="000000"/>
                <w:sz w:val="24"/>
                <w:szCs w:val="24"/>
              </w:rPr>
            </w:pPr>
          </w:p>
        </w:tc>
        <w:tc>
          <w:tcPr>
            <w:tcW w:w="3310" w:type="dxa"/>
            <w:vMerge w:val="continue"/>
            <w:vAlign w:val="center"/>
          </w:tcPr>
          <w:p>
            <w:pPr>
              <w:adjustRightInd w:val="0"/>
              <w:snapToGrid w:val="0"/>
              <w:spacing w:line="320" w:lineRule="exact"/>
              <w:rPr>
                <w:rFonts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7" w:type="dxa"/>
            <w:vAlign w:val="center"/>
          </w:tcPr>
          <w:p>
            <w:pPr>
              <w:adjustRightInd w:val="0"/>
              <w:snapToGrid w:val="0"/>
              <w:spacing w:line="320" w:lineRule="exact"/>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43</w:t>
            </w:r>
          </w:p>
        </w:tc>
        <w:tc>
          <w:tcPr>
            <w:tcW w:w="970" w:type="dxa"/>
            <w:vMerge w:val="continue"/>
            <w:vAlign w:val="center"/>
          </w:tcPr>
          <w:p>
            <w:pPr>
              <w:adjustRightInd w:val="0"/>
              <w:snapToGrid w:val="0"/>
              <w:spacing w:line="320" w:lineRule="exact"/>
              <w:jc w:val="center"/>
              <w:rPr>
                <w:rFonts w:ascii="仿宋_GB2312" w:hAnsi="仿宋_GB2312" w:eastAsia="仿宋_GB2312" w:cs="仿宋_GB2312"/>
                <w:color w:val="000000"/>
                <w:sz w:val="24"/>
                <w:szCs w:val="24"/>
              </w:rPr>
            </w:pPr>
          </w:p>
        </w:tc>
        <w:tc>
          <w:tcPr>
            <w:tcW w:w="1039" w:type="dxa"/>
            <w:vMerge w:val="continue"/>
            <w:vAlign w:val="center"/>
          </w:tcPr>
          <w:p>
            <w:pPr>
              <w:adjustRightInd w:val="0"/>
              <w:snapToGrid w:val="0"/>
              <w:spacing w:line="320" w:lineRule="exact"/>
              <w:jc w:val="center"/>
              <w:rPr>
                <w:rFonts w:ascii="仿宋_GB2312" w:hAnsi="仿宋_GB2312" w:eastAsia="仿宋_GB2312" w:cs="仿宋_GB2312"/>
                <w:color w:val="000000"/>
                <w:sz w:val="24"/>
                <w:szCs w:val="24"/>
              </w:rPr>
            </w:pPr>
          </w:p>
        </w:tc>
        <w:tc>
          <w:tcPr>
            <w:tcW w:w="1959" w:type="dxa"/>
            <w:vMerge w:val="restart"/>
            <w:vAlign w:val="center"/>
          </w:tcPr>
          <w:p>
            <w:pPr>
              <w:adjustRightInd w:val="0"/>
              <w:snapToGrid w:val="0"/>
              <w:spacing w:line="320" w:lineRule="exact"/>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部分扶贫协作项目绩效需进一步提升</w:t>
            </w:r>
          </w:p>
        </w:tc>
        <w:tc>
          <w:tcPr>
            <w:tcW w:w="5247" w:type="dxa"/>
            <w:vAlign w:val="center"/>
          </w:tcPr>
          <w:p>
            <w:pPr>
              <w:adjustRightInd w:val="0"/>
              <w:snapToGrid w:val="0"/>
              <w:spacing w:line="320" w:lineRule="exac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一是个别扶贫项目收益期较短。2019年，投入扶贫协作资金200万元至苗木扶贫基地项目，该项目每年提供固定收益20万元，收益拟分配至相关村集体，但收益合同期仅2年，也未明确到期收回后资金的具体用途。</w:t>
            </w:r>
          </w:p>
        </w:tc>
        <w:tc>
          <w:tcPr>
            <w:tcW w:w="1721" w:type="dxa"/>
            <w:vMerge w:val="restart"/>
            <w:vAlign w:val="center"/>
          </w:tcPr>
          <w:p>
            <w:pPr>
              <w:adjustRightInd w:val="0"/>
              <w:snapToGrid w:val="0"/>
              <w:spacing w:line="320" w:lineRule="exact"/>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市扶贫协作和合作交流办</w:t>
            </w:r>
          </w:p>
        </w:tc>
        <w:tc>
          <w:tcPr>
            <w:tcW w:w="3310" w:type="dxa"/>
            <w:vMerge w:val="restart"/>
            <w:vAlign w:val="center"/>
          </w:tcPr>
          <w:p>
            <w:pPr>
              <w:adjustRightInd w:val="0"/>
              <w:snapToGrid w:val="0"/>
              <w:spacing w:line="320" w:lineRule="exac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审计要求，市扶贫协作和合作交流办要指导帮扶地区探索扶贫长效合作模式，加强捐赠物资的统筹管理,因地制宜发展产业经济。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7" w:type="dxa"/>
            <w:vAlign w:val="center"/>
          </w:tcPr>
          <w:p>
            <w:pPr>
              <w:adjustRightInd w:val="0"/>
              <w:snapToGrid w:val="0"/>
              <w:spacing w:line="320" w:lineRule="exact"/>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44</w:t>
            </w:r>
          </w:p>
        </w:tc>
        <w:tc>
          <w:tcPr>
            <w:tcW w:w="970" w:type="dxa"/>
            <w:vMerge w:val="continue"/>
            <w:vAlign w:val="center"/>
          </w:tcPr>
          <w:p>
            <w:pPr>
              <w:adjustRightInd w:val="0"/>
              <w:snapToGrid w:val="0"/>
              <w:spacing w:line="320" w:lineRule="exact"/>
              <w:jc w:val="center"/>
              <w:rPr>
                <w:rFonts w:ascii="仿宋_GB2312" w:hAnsi="仿宋_GB2312" w:eastAsia="仿宋_GB2312" w:cs="仿宋_GB2312"/>
                <w:color w:val="000000"/>
                <w:sz w:val="24"/>
                <w:szCs w:val="24"/>
              </w:rPr>
            </w:pPr>
          </w:p>
        </w:tc>
        <w:tc>
          <w:tcPr>
            <w:tcW w:w="1039" w:type="dxa"/>
            <w:vMerge w:val="continue"/>
            <w:vAlign w:val="center"/>
          </w:tcPr>
          <w:p>
            <w:pPr>
              <w:adjustRightInd w:val="0"/>
              <w:snapToGrid w:val="0"/>
              <w:spacing w:line="320" w:lineRule="exact"/>
              <w:jc w:val="center"/>
              <w:rPr>
                <w:rFonts w:ascii="仿宋_GB2312" w:hAnsi="仿宋_GB2312" w:eastAsia="仿宋_GB2312" w:cs="仿宋_GB2312"/>
                <w:color w:val="000000"/>
                <w:sz w:val="24"/>
                <w:szCs w:val="24"/>
              </w:rPr>
            </w:pPr>
          </w:p>
        </w:tc>
        <w:tc>
          <w:tcPr>
            <w:tcW w:w="1959" w:type="dxa"/>
            <w:vMerge w:val="continue"/>
            <w:vAlign w:val="center"/>
          </w:tcPr>
          <w:p>
            <w:pPr>
              <w:adjustRightInd w:val="0"/>
              <w:snapToGrid w:val="0"/>
              <w:spacing w:line="320" w:lineRule="exact"/>
              <w:jc w:val="center"/>
              <w:rPr>
                <w:rFonts w:ascii="仿宋_GB2312" w:hAnsi="仿宋_GB2312" w:eastAsia="仿宋_GB2312" w:cs="仿宋_GB2312"/>
                <w:color w:val="000000"/>
                <w:sz w:val="24"/>
                <w:szCs w:val="24"/>
              </w:rPr>
            </w:pPr>
          </w:p>
        </w:tc>
        <w:tc>
          <w:tcPr>
            <w:tcW w:w="5247" w:type="dxa"/>
            <w:vAlign w:val="center"/>
          </w:tcPr>
          <w:p>
            <w:pPr>
              <w:adjustRightInd w:val="0"/>
              <w:snapToGrid w:val="0"/>
              <w:spacing w:line="320" w:lineRule="exac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二是部分捐赠物资使用效果不理想。1所小学接受捐赠的4套电子白屏，价值8.18万元。其中，2套闲置，1套已损坏，剩余1套使用频率不高。</w:t>
            </w:r>
          </w:p>
        </w:tc>
        <w:tc>
          <w:tcPr>
            <w:tcW w:w="1721" w:type="dxa"/>
            <w:vMerge w:val="continue"/>
            <w:vAlign w:val="center"/>
          </w:tcPr>
          <w:p>
            <w:pPr>
              <w:adjustRightInd w:val="0"/>
              <w:snapToGrid w:val="0"/>
              <w:spacing w:line="320" w:lineRule="exact"/>
              <w:jc w:val="center"/>
              <w:rPr>
                <w:rFonts w:ascii="仿宋_GB2312" w:hAnsi="仿宋_GB2312" w:eastAsia="仿宋_GB2312" w:cs="仿宋_GB2312"/>
                <w:color w:val="000000"/>
                <w:sz w:val="24"/>
                <w:szCs w:val="24"/>
              </w:rPr>
            </w:pPr>
          </w:p>
        </w:tc>
        <w:tc>
          <w:tcPr>
            <w:tcW w:w="3310" w:type="dxa"/>
            <w:vMerge w:val="continue"/>
            <w:vAlign w:val="center"/>
          </w:tcPr>
          <w:p>
            <w:pPr>
              <w:adjustRightInd w:val="0"/>
              <w:snapToGrid w:val="0"/>
              <w:spacing w:line="320" w:lineRule="exact"/>
              <w:rPr>
                <w:rFonts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7" w:type="dxa"/>
            <w:vAlign w:val="center"/>
          </w:tcPr>
          <w:p>
            <w:pPr>
              <w:adjustRightInd w:val="0"/>
              <w:snapToGrid w:val="0"/>
              <w:spacing w:line="320" w:lineRule="exact"/>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45</w:t>
            </w:r>
          </w:p>
        </w:tc>
        <w:tc>
          <w:tcPr>
            <w:tcW w:w="970" w:type="dxa"/>
            <w:vMerge w:val="continue"/>
            <w:vAlign w:val="center"/>
          </w:tcPr>
          <w:p>
            <w:pPr>
              <w:adjustRightInd w:val="0"/>
              <w:snapToGrid w:val="0"/>
              <w:spacing w:line="320" w:lineRule="exact"/>
              <w:jc w:val="center"/>
              <w:rPr>
                <w:rFonts w:ascii="仿宋_GB2312" w:hAnsi="仿宋_GB2312" w:eastAsia="仿宋_GB2312" w:cs="仿宋_GB2312"/>
                <w:color w:val="000000"/>
                <w:sz w:val="24"/>
                <w:szCs w:val="24"/>
              </w:rPr>
            </w:pPr>
          </w:p>
        </w:tc>
        <w:tc>
          <w:tcPr>
            <w:tcW w:w="1039" w:type="dxa"/>
            <w:vMerge w:val="continue"/>
            <w:vAlign w:val="center"/>
          </w:tcPr>
          <w:p>
            <w:pPr>
              <w:adjustRightInd w:val="0"/>
              <w:snapToGrid w:val="0"/>
              <w:spacing w:line="320" w:lineRule="exact"/>
              <w:jc w:val="center"/>
              <w:rPr>
                <w:rFonts w:ascii="仿宋_GB2312" w:hAnsi="仿宋_GB2312" w:eastAsia="仿宋_GB2312" w:cs="仿宋_GB2312"/>
                <w:color w:val="000000"/>
                <w:sz w:val="24"/>
                <w:szCs w:val="24"/>
              </w:rPr>
            </w:pPr>
          </w:p>
        </w:tc>
        <w:tc>
          <w:tcPr>
            <w:tcW w:w="1959" w:type="dxa"/>
            <w:vAlign w:val="center"/>
          </w:tcPr>
          <w:p>
            <w:pPr>
              <w:adjustRightInd w:val="0"/>
              <w:snapToGrid w:val="0"/>
              <w:spacing w:line="320" w:lineRule="exact"/>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部分生态文明建设工作落实不到位</w:t>
            </w:r>
          </w:p>
        </w:tc>
        <w:tc>
          <w:tcPr>
            <w:tcW w:w="5247" w:type="dxa"/>
            <w:vAlign w:val="center"/>
          </w:tcPr>
          <w:p>
            <w:pPr>
              <w:adjustRightInd w:val="0"/>
              <w:snapToGrid w:val="0"/>
              <w:spacing w:line="320" w:lineRule="exac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一是基本农田建设和耕地保护类项目预算执行率低。2018—2019年，基本农田建设和耕地保护类项目的总体预算执行率分别为58.87%、62.23%。其中，深圳市基本农田管理范围线优化调整项目的预算执行率为0。</w:t>
            </w:r>
          </w:p>
        </w:tc>
        <w:tc>
          <w:tcPr>
            <w:tcW w:w="1721" w:type="dxa"/>
            <w:vAlign w:val="center"/>
          </w:tcPr>
          <w:p>
            <w:pPr>
              <w:adjustRightInd w:val="0"/>
              <w:snapToGrid w:val="0"/>
              <w:spacing w:line="320" w:lineRule="exact"/>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市规划和自然资源局</w:t>
            </w:r>
          </w:p>
        </w:tc>
        <w:tc>
          <w:tcPr>
            <w:tcW w:w="3310" w:type="dxa"/>
            <w:vAlign w:val="center"/>
          </w:tcPr>
          <w:p>
            <w:pPr>
              <w:adjustRightInd w:val="0"/>
              <w:snapToGrid w:val="0"/>
              <w:spacing w:line="320" w:lineRule="exac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审计要求，市规划和自然资源局要采取积极措施，加快推进项目实施。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7" w:type="dxa"/>
            <w:vAlign w:val="center"/>
          </w:tcPr>
          <w:p>
            <w:pPr>
              <w:adjustRightInd w:val="0"/>
              <w:snapToGrid w:val="0"/>
              <w:spacing w:line="320" w:lineRule="exact"/>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46</w:t>
            </w:r>
          </w:p>
        </w:tc>
        <w:tc>
          <w:tcPr>
            <w:tcW w:w="970" w:type="dxa"/>
            <w:vMerge w:val="restart"/>
            <w:vAlign w:val="center"/>
          </w:tcPr>
          <w:p>
            <w:pPr>
              <w:adjustRightInd w:val="0"/>
              <w:snapToGrid w:val="0"/>
              <w:spacing w:line="320" w:lineRule="exact"/>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五、重大专项审计情况</w:t>
            </w:r>
          </w:p>
        </w:tc>
        <w:tc>
          <w:tcPr>
            <w:tcW w:w="1039" w:type="dxa"/>
            <w:vAlign w:val="center"/>
          </w:tcPr>
          <w:p>
            <w:pPr>
              <w:adjustRightInd w:val="0"/>
              <w:snapToGrid w:val="0"/>
              <w:spacing w:line="320" w:lineRule="exact"/>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（一）三大攻坚战推进落实情况</w:t>
            </w:r>
          </w:p>
        </w:tc>
        <w:tc>
          <w:tcPr>
            <w:tcW w:w="1959" w:type="dxa"/>
            <w:vAlign w:val="center"/>
          </w:tcPr>
          <w:p>
            <w:pPr>
              <w:adjustRightInd w:val="0"/>
              <w:snapToGrid w:val="0"/>
              <w:spacing w:line="320" w:lineRule="exact"/>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部分生态文明建设工作落实不到位</w:t>
            </w:r>
          </w:p>
        </w:tc>
        <w:tc>
          <w:tcPr>
            <w:tcW w:w="5247" w:type="dxa"/>
            <w:vAlign w:val="center"/>
          </w:tcPr>
          <w:p>
            <w:pPr>
              <w:adjustRightInd w:val="0"/>
              <w:snapToGrid w:val="0"/>
              <w:spacing w:line="320" w:lineRule="exac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二是个别资源保护类项目资金未使用。由于相关补贴方案尚未报批，截至2019年12月底，一级水源保护区历史遗留建筑处置补贴项目资金未使用，涉及金额80亿元。</w:t>
            </w:r>
          </w:p>
        </w:tc>
        <w:tc>
          <w:tcPr>
            <w:tcW w:w="1721" w:type="dxa"/>
            <w:vAlign w:val="center"/>
          </w:tcPr>
          <w:p>
            <w:pPr>
              <w:adjustRightInd w:val="0"/>
              <w:snapToGrid w:val="0"/>
              <w:spacing w:line="320" w:lineRule="exact"/>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市规划和自然资源局</w:t>
            </w:r>
          </w:p>
        </w:tc>
        <w:tc>
          <w:tcPr>
            <w:tcW w:w="3310" w:type="dxa"/>
            <w:vAlign w:val="center"/>
          </w:tcPr>
          <w:p>
            <w:pPr>
              <w:adjustRightInd w:val="0"/>
              <w:snapToGrid w:val="0"/>
              <w:spacing w:line="320" w:lineRule="exac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审计要求，市规划和自然资源局要采取积极措施，加快推进项目实施。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7" w:type="dxa"/>
            <w:vAlign w:val="center"/>
          </w:tcPr>
          <w:p>
            <w:pPr>
              <w:adjustRightInd w:val="0"/>
              <w:snapToGrid w:val="0"/>
              <w:spacing w:line="320" w:lineRule="exact"/>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47</w:t>
            </w:r>
          </w:p>
        </w:tc>
        <w:tc>
          <w:tcPr>
            <w:tcW w:w="970" w:type="dxa"/>
            <w:vMerge w:val="continue"/>
            <w:vAlign w:val="center"/>
          </w:tcPr>
          <w:p>
            <w:pPr>
              <w:adjustRightInd w:val="0"/>
              <w:snapToGrid w:val="0"/>
              <w:spacing w:line="320" w:lineRule="exact"/>
              <w:jc w:val="center"/>
              <w:rPr>
                <w:rFonts w:ascii="仿宋_GB2312" w:hAnsi="仿宋_GB2312" w:eastAsia="仿宋_GB2312" w:cs="仿宋_GB2312"/>
                <w:color w:val="000000"/>
                <w:sz w:val="24"/>
                <w:szCs w:val="24"/>
              </w:rPr>
            </w:pPr>
          </w:p>
        </w:tc>
        <w:tc>
          <w:tcPr>
            <w:tcW w:w="1039" w:type="dxa"/>
            <w:vMerge w:val="restart"/>
            <w:vAlign w:val="center"/>
          </w:tcPr>
          <w:p>
            <w:pPr>
              <w:adjustRightInd w:val="0"/>
              <w:snapToGrid w:val="0"/>
              <w:spacing w:line="320" w:lineRule="exact"/>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（二）城市环境品质提升项目实施情况</w:t>
            </w:r>
          </w:p>
        </w:tc>
        <w:tc>
          <w:tcPr>
            <w:tcW w:w="1959" w:type="dxa"/>
            <w:vAlign w:val="center"/>
          </w:tcPr>
          <w:p>
            <w:pPr>
              <w:adjustRightInd w:val="0"/>
              <w:snapToGrid w:val="0"/>
              <w:spacing w:line="320" w:lineRule="exact"/>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部分项目验收后未及时竣工结算</w:t>
            </w:r>
          </w:p>
        </w:tc>
        <w:tc>
          <w:tcPr>
            <w:tcW w:w="5247" w:type="dxa"/>
            <w:vAlign w:val="center"/>
          </w:tcPr>
          <w:p>
            <w:pPr>
              <w:adjustRightInd w:val="0"/>
              <w:snapToGrid w:val="0"/>
              <w:spacing w:line="320" w:lineRule="exac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截至2020年4月底，53个项目验收后超过3个月仍未竣工结算，涉及金额27.07亿元，占财政支持总金额的74.37%，财政无法及时清算，存在超付风险。</w:t>
            </w:r>
          </w:p>
        </w:tc>
        <w:tc>
          <w:tcPr>
            <w:tcW w:w="1721" w:type="dxa"/>
            <w:vMerge w:val="restart"/>
            <w:vAlign w:val="center"/>
          </w:tcPr>
          <w:p>
            <w:pPr>
              <w:adjustRightInd w:val="0"/>
              <w:snapToGrid w:val="0"/>
              <w:spacing w:line="320" w:lineRule="exact"/>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市城管和综合执法局</w:t>
            </w:r>
          </w:p>
        </w:tc>
        <w:tc>
          <w:tcPr>
            <w:tcW w:w="3310" w:type="dxa"/>
            <w:vAlign w:val="center"/>
          </w:tcPr>
          <w:p>
            <w:pPr>
              <w:adjustRightInd w:val="0"/>
              <w:snapToGrid w:val="0"/>
              <w:spacing w:line="320" w:lineRule="exac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审计要求，市城管和综合执法局要认真履行管理职责，督促各区（新区）推进项目竣工结算，尽快完成清算工作。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7" w:type="dxa"/>
            <w:vAlign w:val="center"/>
          </w:tcPr>
          <w:p>
            <w:pPr>
              <w:adjustRightInd w:val="0"/>
              <w:snapToGrid w:val="0"/>
              <w:spacing w:line="320" w:lineRule="exact"/>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48</w:t>
            </w:r>
          </w:p>
        </w:tc>
        <w:tc>
          <w:tcPr>
            <w:tcW w:w="970" w:type="dxa"/>
            <w:vMerge w:val="continue"/>
            <w:vAlign w:val="center"/>
          </w:tcPr>
          <w:p>
            <w:pPr>
              <w:adjustRightInd w:val="0"/>
              <w:snapToGrid w:val="0"/>
              <w:spacing w:line="320" w:lineRule="exact"/>
              <w:jc w:val="center"/>
              <w:rPr>
                <w:rFonts w:ascii="仿宋_GB2312" w:hAnsi="仿宋_GB2312" w:eastAsia="仿宋_GB2312" w:cs="仿宋_GB2312"/>
                <w:color w:val="000000"/>
                <w:sz w:val="24"/>
                <w:szCs w:val="24"/>
              </w:rPr>
            </w:pPr>
          </w:p>
        </w:tc>
        <w:tc>
          <w:tcPr>
            <w:tcW w:w="1039" w:type="dxa"/>
            <w:vMerge w:val="continue"/>
            <w:vAlign w:val="center"/>
          </w:tcPr>
          <w:p>
            <w:pPr>
              <w:adjustRightInd w:val="0"/>
              <w:snapToGrid w:val="0"/>
              <w:spacing w:line="320" w:lineRule="exact"/>
              <w:jc w:val="center"/>
              <w:rPr>
                <w:rFonts w:ascii="仿宋_GB2312" w:hAnsi="仿宋_GB2312" w:eastAsia="仿宋_GB2312" w:cs="仿宋_GB2312"/>
                <w:color w:val="000000"/>
                <w:sz w:val="24"/>
                <w:szCs w:val="24"/>
              </w:rPr>
            </w:pPr>
          </w:p>
        </w:tc>
        <w:tc>
          <w:tcPr>
            <w:tcW w:w="1959" w:type="dxa"/>
            <w:vMerge w:val="restart"/>
            <w:vAlign w:val="center"/>
          </w:tcPr>
          <w:p>
            <w:pPr>
              <w:adjustRightInd w:val="0"/>
              <w:snapToGrid w:val="0"/>
              <w:spacing w:line="320" w:lineRule="exact"/>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部分项目现场实施管理不到位</w:t>
            </w:r>
          </w:p>
        </w:tc>
        <w:tc>
          <w:tcPr>
            <w:tcW w:w="5247" w:type="dxa"/>
            <w:vAlign w:val="center"/>
          </w:tcPr>
          <w:p>
            <w:pPr>
              <w:adjustRightInd w:val="0"/>
              <w:snapToGrid w:val="0"/>
              <w:spacing w:line="320" w:lineRule="exac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一是项目台账记录不及时。2017—2019年花卉布置项目台账中，相关项目台账均为施工方、设计方、监理方按月集中签名，时间跨度过大，签名均无具体日期，无法及时确认项目实施前中后的情况。</w:t>
            </w:r>
          </w:p>
        </w:tc>
        <w:tc>
          <w:tcPr>
            <w:tcW w:w="1721" w:type="dxa"/>
            <w:vMerge w:val="continue"/>
            <w:vAlign w:val="center"/>
          </w:tcPr>
          <w:p>
            <w:pPr>
              <w:adjustRightInd w:val="0"/>
              <w:snapToGrid w:val="0"/>
              <w:spacing w:line="320" w:lineRule="exact"/>
              <w:jc w:val="center"/>
              <w:rPr>
                <w:rFonts w:ascii="仿宋_GB2312" w:hAnsi="仿宋_GB2312" w:eastAsia="仿宋_GB2312" w:cs="仿宋_GB2312"/>
                <w:color w:val="000000"/>
                <w:sz w:val="24"/>
                <w:szCs w:val="24"/>
              </w:rPr>
            </w:pPr>
          </w:p>
        </w:tc>
        <w:tc>
          <w:tcPr>
            <w:tcW w:w="3310" w:type="dxa"/>
            <w:vMerge w:val="restart"/>
            <w:vAlign w:val="center"/>
          </w:tcPr>
          <w:p>
            <w:pPr>
              <w:adjustRightInd w:val="0"/>
              <w:snapToGrid w:val="0"/>
              <w:spacing w:line="320" w:lineRule="exac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审计要求，市城管和综合执法局要加强项目现场实施管理，完善项目台账管理机制，督促施工方、监理方、设计方等做好台账的登记审核工作。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7" w:type="dxa"/>
            <w:vAlign w:val="center"/>
          </w:tcPr>
          <w:p>
            <w:pPr>
              <w:adjustRightInd w:val="0"/>
              <w:snapToGrid w:val="0"/>
              <w:spacing w:line="320" w:lineRule="exact"/>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49</w:t>
            </w:r>
          </w:p>
        </w:tc>
        <w:tc>
          <w:tcPr>
            <w:tcW w:w="970" w:type="dxa"/>
            <w:vMerge w:val="continue"/>
            <w:vAlign w:val="center"/>
          </w:tcPr>
          <w:p>
            <w:pPr>
              <w:adjustRightInd w:val="0"/>
              <w:snapToGrid w:val="0"/>
              <w:spacing w:line="320" w:lineRule="exact"/>
              <w:jc w:val="center"/>
              <w:rPr>
                <w:rFonts w:ascii="仿宋_GB2312" w:hAnsi="仿宋_GB2312" w:eastAsia="仿宋_GB2312" w:cs="仿宋_GB2312"/>
                <w:color w:val="000000"/>
                <w:sz w:val="24"/>
                <w:szCs w:val="24"/>
              </w:rPr>
            </w:pPr>
          </w:p>
        </w:tc>
        <w:tc>
          <w:tcPr>
            <w:tcW w:w="1039" w:type="dxa"/>
            <w:vMerge w:val="continue"/>
            <w:vAlign w:val="center"/>
          </w:tcPr>
          <w:p>
            <w:pPr>
              <w:adjustRightInd w:val="0"/>
              <w:snapToGrid w:val="0"/>
              <w:spacing w:line="320" w:lineRule="exact"/>
              <w:jc w:val="center"/>
              <w:rPr>
                <w:rFonts w:ascii="仿宋_GB2312" w:hAnsi="仿宋_GB2312" w:eastAsia="仿宋_GB2312" w:cs="仿宋_GB2312"/>
                <w:color w:val="000000"/>
                <w:sz w:val="24"/>
                <w:szCs w:val="24"/>
              </w:rPr>
            </w:pPr>
          </w:p>
        </w:tc>
        <w:tc>
          <w:tcPr>
            <w:tcW w:w="1959" w:type="dxa"/>
            <w:vMerge w:val="continue"/>
            <w:vAlign w:val="center"/>
          </w:tcPr>
          <w:p>
            <w:pPr>
              <w:adjustRightInd w:val="0"/>
              <w:snapToGrid w:val="0"/>
              <w:spacing w:line="320" w:lineRule="exact"/>
              <w:jc w:val="center"/>
              <w:rPr>
                <w:rFonts w:ascii="仿宋_GB2312" w:hAnsi="仿宋_GB2312" w:eastAsia="仿宋_GB2312" w:cs="仿宋_GB2312"/>
                <w:color w:val="000000"/>
                <w:sz w:val="24"/>
                <w:szCs w:val="24"/>
              </w:rPr>
            </w:pPr>
          </w:p>
        </w:tc>
        <w:tc>
          <w:tcPr>
            <w:tcW w:w="5247" w:type="dxa"/>
            <w:vAlign w:val="center"/>
          </w:tcPr>
          <w:p>
            <w:pPr>
              <w:adjustRightInd w:val="0"/>
              <w:snapToGrid w:val="0"/>
              <w:spacing w:line="320" w:lineRule="exac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二是项目台账与监理日志记载不相符。2018年9—10月项目台账中，有13个施工地点的工程内容未在监理日志中记录，涉及金额约186万元，占总结算金额的5.02%。2019年9—10月项目台账中，有36个施工地点的工程内容未在监理日志中记录，涉及金额174.87万元，占总合同金额的4.14%；有5个施工地点的项目台账记录的面积、数量大于监理日志，涉及金额约34.12万元。</w:t>
            </w:r>
          </w:p>
        </w:tc>
        <w:tc>
          <w:tcPr>
            <w:tcW w:w="1721" w:type="dxa"/>
            <w:vMerge w:val="continue"/>
            <w:vAlign w:val="center"/>
          </w:tcPr>
          <w:p>
            <w:pPr>
              <w:adjustRightInd w:val="0"/>
              <w:snapToGrid w:val="0"/>
              <w:spacing w:line="320" w:lineRule="exact"/>
              <w:jc w:val="center"/>
              <w:rPr>
                <w:rFonts w:ascii="仿宋_GB2312" w:hAnsi="仿宋_GB2312" w:eastAsia="仿宋_GB2312" w:cs="仿宋_GB2312"/>
                <w:color w:val="000000"/>
                <w:sz w:val="24"/>
                <w:szCs w:val="24"/>
              </w:rPr>
            </w:pPr>
          </w:p>
        </w:tc>
        <w:tc>
          <w:tcPr>
            <w:tcW w:w="3310" w:type="dxa"/>
            <w:vMerge w:val="continue"/>
            <w:vAlign w:val="center"/>
          </w:tcPr>
          <w:p>
            <w:pPr>
              <w:adjustRightInd w:val="0"/>
              <w:snapToGrid w:val="0"/>
              <w:spacing w:line="320" w:lineRule="exact"/>
              <w:rPr>
                <w:rFonts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7" w:type="dxa"/>
            <w:vAlign w:val="center"/>
          </w:tcPr>
          <w:p>
            <w:pPr>
              <w:adjustRightInd w:val="0"/>
              <w:snapToGrid w:val="0"/>
              <w:spacing w:line="320" w:lineRule="exact"/>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50</w:t>
            </w:r>
          </w:p>
        </w:tc>
        <w:tc>
          <w:tcPr>
            <w:tcW w:w="970" w:type="dxa"/>
            <w:vMerge w:val="continue"/>
            <w:vAlign w:val="center"/>
          </w:tcPr>
          <w:p>
            <w:pPr>
              <w:adjustRightInd w:val="0"/>
              <w:snapToGrid w:val="0"/>
              <w:spacing w:line="320" w:lineRule="exact"/>
              <w:jc w:val="center"/>
              <w:rPr>
                <w:rFonts w:ascii="仿宋_GB2312" w:hAnsi="仿宋_GB2312" w:eastAsia="仿宋_GB2312" w:cs="仿宋_GB2312"/>
                <w:color w:val="000000"/>
                <w:sz w:val="24"/>
                <w:szCs w:val="24"/>
              </w:rPr>
            </w:pPr>
          </w:p>
        </w:tc>
        <w:tc>
          <w:tcPr>
            <w:tcW w:w="1039" w:type="dxa"/>
            <w:vMerge w:val="continue"/>
            <w:vAlign w:val="center"/>
          </w:tcPr>
          <w:p>
            <w:pPr>
              <w:adjustRightInd w:val="0"/>
              <w:snapToGrid w:val="0"/>
              <w:spacing w:line="320" w:lineRule="exact"/>
              <w:jc w:val="center"/>
              <w:rPr>
                <w:rFonts w:ascii="仿宋_GB2312" w:hAnsi="仿宋_GB2312" w:eastAsia="仿宋_GB2312" w:cs="仿宋_GB2312"/>
                <w:color w:val="000000"/>
                <w:sz w:val="24"/>
                <w:szCs w:val="24"/>
              </w:rPr>
            </w:pPr>
          </w:p>
        </w:tc>
        <w:tc>
          <w:tcPr>
            <w:tcW w:w="1959" w:type="dxa"/>
            <w:vMerge w:val="continue"/>
            <w:vAlign w:val="center"/>
          </w:tcPr>
          <w:p>
            <w:pPr>
              <w:adjustRightInd w:val="0"/>
              <w:snapToGrid w:val="0"/>
              <w:spacing w:line="320" w:lineRule="exact"/>
              <w:jc w:val="center"/>
              <w:rPr>
                <w:rFonts w:ascii="仿宋_GB2312" w:hAnsi="仿宋_GB2312" w:eastAsia="仿宋_GB2312" w:cs="仿宋_GB2312"/>
                <w:color w:val="000000"/>
                <w:sz w:val="24"/>
                <w:szCs w:val="24"/>
              </w:rPr>
            </w:pPr>
          </w:p>
        </w:tc>
        <w:tc>
          <w:tcPr>
            <w:tcW w:w="5247" w:type="dxa"/>
            <w:vAlign w:val="center"/>
          </w:tcPr>
          <w:p>
            <w:pPr>
              <w:adjustRightInd w:val="0"/>
              <w:snapToGrid w:val="0"/>
              <w:spacing w:line="320" w:lineRule="exac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三是监理日志记录要素不齐全。部分监理日志未注明当日完工面积或当日种植花卉、植物数量等，未针对不同位置和路段阐述具体施工情况。</w:t>
            </w:r>
          </w:p>
        </w:tc>
        <w:tc>
          <w:tcPr>
            <w:tcW w:w="1721" w:type="dxa"/>
            <w:vMerge w:val="continue"/>
            <w:vAlign w:val="center"/>
          </w:tcPr>
          <w:p>
            <w:pPr>
              <w:adjustRightInd w:val="0"/>
              <w:snapToGrid w:val="0"/>
              <w:spacing w:line="320" w:lineRule="exact"/>
              <w:jc w:val="center"/>
              <w:rPr>
                <w:rFonts w:ascii="仿宋_GB2312" w:hAnsi="仿宋_GB2312" w:eastAsia="仿宋_GB2312" w:cs="仿宋_GB2312"/>
                <w:color w:val="000000"/>
                <w:sz w:val="24"/>
                <w:szCs w:val="24"/>
              </w:rPr>
            </w:pPr>
          </w:p>
        </w:tc>
        <w:tc>
          <w:tcPr>
            <w:tcW w:w="3310" w:type="dxa"/>
            <w:vMerge w:val="continue"/>
            <w:vAlign w:val="center"/>
          </w:tcPr>
          <w:p>
            <w:pPr>
              <w:adjustRightInd w:val="0"/>
              <w:snapToGrid w:val="0"/>
              <w:spacing w:line="320" w:lineRule="exact"/>
              <w:rPr>
                <w:rFonts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7" w:type="dxa"/>
            <w:vAlign w:val="center"/>
          </w:tcPr>
          <w:p>
            <w:pPr>
              <w:adjustRightInd w:val="0"/>
              <w:snapToGrid w:val="0"/>
              <w:spacing w:line="290" w:lineRule="exact"/>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51</w:t>
            </w:r>
          </w:p>
        </w:tc>
        <w:tc>
          <w:tcPr>
            <w:tcW w:w="970" w:type="dxa"/>
            <w:vMerge w:val="restart"/>
            <w:vAlign w:val="center"/>
          </w:tcPr>
          <w:p>
            <w:pPr>
              <w:adjustRightInd w:val="0"/>
              <w:snapToGrid w:val="0"/>
              <w:spacing w:line="290" w:lineRule="exact"/>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五、重大专项审计情况</w:t>
            </w:r>
          </w:p>
        </w:tc>
        <w:tc>
          <w:tcPr>
            <w:tcW w:w="1039" w:type="dxa"/>
            <w:vMerge w:val="restart"/>
            <w:vAlign w:val="center"/>
          </w:tcPr>
          <w:p>
            <w:pPr>
              <w:adjustRightInd w:val="0"/>
              <w:snapToGrid w:val="0"/>
              <w:spacing w:line="290" w:lineRule="exact"/>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（三）内部审计工作开展情况</w:t>
            </w:r>
          </w:p>
        </w:tc>
        <w:tc>
          <w:tcPr>
            <w:tcW w:w="1959" w:type="dxa"/>
            <w:vAlign w:val="center"/>
          </w:tcPr>
          <w:p>
            <w:pPr>
              <w:adjustRightInd w:val="0"/>
              <w:snapToGrid w:val="0"/>
              <w:spacing w:line="290" w:lineRule="exact"/>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内部审计制度不完善</w:t>
            </w:r>
          </w:p>
        </w:tc>
        <w:tc>
          <w:tcPr>
            <w:tcW w:w="5247" w:type="dxa"/>
            <w:vAlign w:val="center"/>
          </w:tcPr>
          <w:p>
            <w:pPr>
              <w:adjustRightInd w:val="0"/>
              <w:snapToGrid w:val="0"/>
              <w:spacing w:line="290" w:lineRule="exac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市医保局实行的内部审计管理暂行办法未对内审人员配备、经费保障等方面有明确具体的要求，组织结构设计不够合理。市建筑工务署制定的内部审计管理办法仍处于征求意见阶段。</w:t>
            </w:r>
          </w:p>
        </w:tc>
        <w:tc>
          <w:tcPr>
            <w:tcW w:w="1721" w:type="dxa"/>
            <w:vAlign w:val="center"/>
          </w:tcPr>
          <w:p>
            <w:pPr>
              <w:adjustRightInd w:val="0"/>
              <w:snapToGrid w:val="0"/>
              <w:spacing w:line="290" w:lineRule="exact"/>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市医保局、建筑工务署</w:t>
            </w:r>
          </w:p>
        </w:tc>
        <w:tc>
          <w:tcPr>
            <w:tcW w:w="3310" w:type="dxa"/>
            <w:vAlign w:val="center"/>
          </w:tcPr>
          <w:p>
            <w:pPr>
              <w:adjustRightInd w:val="0"/>
              <w:snapToGrid w:val="0"/>
              <w:spacing w:line="290" w:lineRule="exac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审计要求，市医保局、建筑工务署要按规定尽快完善内部审计及整改制度。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7" w:type="dxa"/>
            <w:vAlign w:val="center"/>
          </w:tcPr>
          <w:p>
            <w:pPr>
              <w:adjustRightInd w:val="0"/>
              <w:snapToGrid w:val="0"/>
              <w:spacing w:line="290" w:lineRule="exact"/>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52</w:t>
            </w:r>
          </w:p>
        </w:tc>
        <w:tc>
          <w:tcPr>
            <w:tcW w:w="970" w:type="dxa"/>
            <w:vMerge w:val="continue"/>
            <w:vAlign w:val="center"/>
          </w:tcPr>
          <w:p>
            <w:pPr>
              <w:adjustRightInd w:val="0"/>
              <w:snapToGrid w:val="0"/>
              <w:spacing w:line="290" w:lineRule="exact"/>
              <w:jc w:val="center"/>
              <w:rPr>
                <w:rFonts w:ascii="仿宋_GB2312" w:hAnsi="仿宋_GB2312" w:eastAsia="仿宋_GB2312" w:cs="仿宋_GB2312"/>
                <w:color w:val="000000"/>
                <w:sz w:val="24"/>
                <w:szCs w:val="24"/>
              </w:rPr>
            </w:pPr>
          </w:p>
        </w:tc>
        <w:tc>
          <w:tcPr>
            <w:tcW w:w="1039" w:type="dxa"/>
            <w:vMerge w:val="continue"/>
            <w:vAlign w:val="center"/>
          </w:tcPr>
          <w:p>
            <w:pPr>
              <w:adjustRightInd w:val="0"/>
              <w:snapToGrid w:val="0"/>
              <w:spacing w:line="290" w:lineRule="exact"/>
              <w:jc w:val="center"/>
              <w:rPr>
                <w:rFonts w:ascii="仿宋_GB2312" w:hAnsi="仿宋_GB2312" w:eastAsia="仿宋_GB2312" w:cs="仿宋_GB2312"/>
                <w:color w:val="000000"/>
                <w:sz w:val="24"/>
                <w:szCs w:val="24"/>
              </w:rPr>
            </w:pPr>
          </w:p>
        </w:tc>
        <w:tc>
          <w:tcPr>
            <w:tcW w:w="1959" w:type="dxa"/>
            <w:vAlign w:val="center"/>
          </w:tcPr>
          <w:p>
            <w:pPr>
              <w:adjustRightInd w:val="0"/>
              <w:snapToGrid w:val="0"/>
              <w:spacing w:line="290" w:lineRule="exact"/>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内部审计机构不健全</w:t>
            </w:r>
          </w:p>
        </w:tc>
        <w:tc>
          <w:tcPr>
            <w:tcW w:w="5247" w:type="dxa"/>
            <w:vAlign w:val="center"/>
          </w:tcPr>
          <w:p>
            <w:pPr>
              <w:adjustRightInd w:val="0"/>
              <w:snapToGrid w:val="0"/>
              <w:spacing w:line="290" w:lineRule="exac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截至2020年4月中旬，市交通运输局、医保局、住房保障署均由财务部门履行内部审计职能。内部审计部门与财务部门未能做到分离，独立性受到一定影响。</w:t>
            </w:r>
          </w:p>
        </w:tc>
        <w:tc>
          <w:tcPr>
            <w:tcW w:w="1721" w:type="dxa"/>
            <w:vAlign w:val="center"/>
          </w:tcPr>
          <w:p>
            <w:pPr>
              <w:adjustRightInd w:val="0"/>
              <w:snapToGrid w:val="0"/>
              <w:spacing w:line="290" w:lineRule="exact"/>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市交通运输局、医保局、住房保障署</w:t>
            </w:r>
          </w:p>
        </w:tc>
        <w:tc>
          <w:tcPr>
            <w:tcW w:w="3310" w:type="dxa"/>
            <w:vAlign w:val="center"/>
          </w:tcPr>
          <w:p>
            <w:pPr>
              <w:adjustRightInd w:val="0"/>
              <w:snapToGrid w:val="0"/>
              <w:spacing w:line="290" w:lineRule="exac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审计要求，市交通运输局、医保局、住房保障署要按照机构编制管理规定，结合本单位实际，明确或指定履行内部审计职责的内设机构。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7" w:type="dxa"/>
            <w:vAlign w:val="center"/>
          </w:tcPr>
          <w:p>
            <w:pPr>
              <w:adjustRightInd w:val="0"/>
              <w:snapToGrid w:val="0"/>
              <w:spacing w:line="290" w:lineRule="exact"/>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53</w:t>
            </w:r>
          </w:p>
        </w:tc>
        <w:tc>
          <w:tcPr>
            <w:tcW w:w="970" w:type="dxa"/>
            <w:vMerge w:val="continue"/>
            <w:vAlign w:val="center"/>
          </w:tcPr>
          <w:p>
            <w:pPr>
              <w:adjustRightInd w:val="0"/>
              <w:snapToGrid w:val="0"/>
              <w:spacing w:line="290" w:lineRule="exact"/>
              <w:jc w:val="center"/>
              <w:rPr>
                <w:rFonts w:ascii="仿宋_GB2312" w:hAnsi="仿宋_GB2312" w:eastAsia="仿宋_GB2312" w:cs="仿宋_GB2312"/>
                <w:color w:val="000000"/>
                <w:sz w:val="24"/>
                <w:szCs w:val="24"/>
              </w:rPr>
            </w:pPr>
          </w:p>
        </w:tc>
        <w:tc>
          <w:tcPr>
            <w:tcW w:w="1039" w:type="dxa"/>
            <w:vMerge w:val="continue"/>
            <w:vAlign w:val="center"/>
          </w:tcPr>
          <w:p>
            <w:pPr>
              <w:adjustRightInd w:val="0"/>
              <w:snapToGrid w:val="0"/>
              <w:spacing w:line="290" w:lineRule="exact"/>
              <w:jc w:val="center"/>
              <w:rPr>
                <w:rFonts w:ascii="仿宋_GB2312" w:hAnsi="仿宋_GB2312" w:eastAsia="仿宋_GB2312" w:cs="仿宋_GB2312"/>
                <w:color w:val="000000"/>
                <w:sz w:val="24"/>
                <w:szCs w:val="24"/>
              </w:rPr>
            </w:pPr>
          </w:p>
        </w:tc>
        <w:tc>
          <w:tcPr>
            <w:tcW w:w="1959" w:type="dxa"/>
            <w:vAlign w:val="center"/>
          </w:tcPr>
          <w:p>
            <w:pPr>
              <w:adjustRightInd w:val="0"/>
              <w:snapToGrid w:val="0"/>
              <w:spacing w:line="290" w:lineRule="exact"/>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未有效开展内部审计工作</w:t>
            </w:r>
          </w:p>
        </w:tc>
        <w:tc>
          <w:tcPr>
            <w:tcW w:w="5247" w:type="dxa"/>
            <w:vAlign w:val="center"/>
          </w:tcPr>
          <w:p>
            <w:pPr>
              <w:adjustRightInd w:val="0"/>
              <w:snapToGrid w:val="0"/>
              <w:spacing w:line="290" w:lineRule="exac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2019年，市建筑工务署计划开展4个内部审计项目，截—2020年4月底，审计报告仍处于征求意见阶段。2014年5月—2019年6月，深圳广播电影电视集团制作的16个大型电视节目均未按内部规定进行专项审计。</w:t>
            </w:r>
          </w:p>
        </w:tc>
        <w:tc>
          <w:tcPr>
            <w:tcW w:w="1721" w:type="dxa"/>
            <w:vAlign w:val="center"/>
          </w:tcPr>
          <w:p>
            <w:pPr>
              <w:adjustRightInd w:val="0"/>
              <w:snapToGrid w:val="0"/>
              <w:spacing w:line="290" w:lineRule="exact"/>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市建筑工务署、广电集团</w:t>
            </w:r>
          </w:p>
        </w:tc>
        <w:tc>
          <w:tcPr>
            <w:tcW w:w="3310" w:type="dxa"/>
            <w:vAlign w:val="center"/>
          </w:tcPr>
          <w:p>
            <w:pPr>
              <w:adjustRightInd w:val="0"/>
              <w:snapToGrid w:val="0"/>
              <w:spacing w:line="290" w:lineRule="exac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审计要求，市建筑工务署要认真制定落实内部审计项目计划，提高规范化管理水平。广电集团要严格按照内部规定，对大型活动加强审计监督。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7" w:type="dxa"/>
            <w:vAlign w:val="center"/>
          </w:tcPr>
          <w:p>
            <w:pPr>
              <w:adjustRightInd w:val="0"/>
              <w:snapToGrid w:val="0"/>
              <w:spacing w:line="290" w:lineRule="exact"/>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54</w:t>
            </w:r>
          </w:p>
        </w:tc>
        <w:tc>
          <w:tcPr>
            <w:tcW w:w="970" w:type="dxa"/>
            <w:vMerge w:val="restart"/>
            <w:vAlign w:val="center"/>
          </w:tcPr>
          <w:p>
            <w:pPr>
              <w:adjustRightInd w:val="0"/>
              <w:snapToGrid w:val="0"/>
              <w:spacing w:line="290" w:lineRule="exact"/>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六、政府投资项目审计情况</w:t>
            </w:r>
          </w:p>
        </w:tc>
        <w:tc>
          <w:tcPr>
            <w:tcW w:w="1039" w:type="dxa"/>
            <w:vAlign w:val="center"/>
          </w:tcPr>
          <w:p>
            <w:pPr>
              <w:adjustRightInd w:val="0"/>
              <w:snapToGrid w:val="0"/>
              <w:spacing w:line="290" w:lineRule="exact"/>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（一）项目年度投资计划执行率不到位</w:t>
            </w:r>
          </w:p>
        </w:tc>
        <w:tc>
          <w:tcPr>
            <w:tcW w:w="1959" w:type="dxa"/>
            <w:vAlign w:val="center"/>
          </w:tcPr>
          <w:p>
            <w:pPr>
              <w:adjustRightInd w:val="0"/>
              <w:snapToGrid w:val="0"/>
              <w:spacing w:line="290" w:lineRule="exact"/>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22个项目年度投资计划执行率不到位</w:t>
            </w:r>
          </w:p>
        </w:tc>
        <w:tc>
          <w:tcPr>
            <w:tcW w:w="5247" w:type="dxa"/>
            <w:vAlign w:val="center"/>
          </w:tcPr>
          <w:p>
            <w:pPr>
              <w:adjustRightInd w:val="0"/>
              <w:snapToGrid w:val="0"/>
              <w:spacing w:line="290" w:lineRule="exac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22个项目存在年度投资计划执行率不到位的情况，年度投资计划（预算）资金2.15亿元未充分发挥效益。</w:t>
            </w:r>
          </w:p>
        </w:tc>
        <w:tc>
          <w:tcPr>
            <w:tcW w:w="1721" w:type="dxa"/>
            <w:vMerge w:val="restart"/>
            <w:vAlign w:val="center"/>
          </w:tcPr>
          <w:p>
            <w:pPr>
              <w:adjustRightInd w:val="0"/>
              <w:snapToGrid w:val="0"/>
              <w:spacing w:line="290" w:lineRule="exact"/>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市交通运输局、水务局、建筑工务署、住房保障署</w:t>
            </w:r>
          </w:p>
        </w:tc>
        <w:tc>
          <w:tcPr>
            <w:tcW w:w="3310" w:type="dxa"/>
            <w:vAlign w:val="center"/>
          </w:tcPr>
          <w:p>
            <w:pPr>
              <w:adjustRightInd w:val="0"/>
              <w:snapToGrid w:val="0"/>
              <w:spacing w:line="290" w:lineRule="exac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审计要求，市交通运输局、水务局、建筑工务署、住房保障署要积极采取措施，加快建设项目进展，提高资金计划执行率，充分发挥政府投资的效益。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7" w:type="dxa"/>
            <w:vAlign w:val="center"/>
          </w:tcPr>
          <w:p>
            <w:pPr>
              <w:adjustRightInd w:val="0"/>
              <w:snapToGrid w:val="0"/>
              <w:spacing w:line="290" w:lineRule="exact"/>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55</w:t>
            </w:r>
          </w:p>
        </w:tc>
        <w:tc>
          <w:tcPr>
            <w:tcW w:w="970" w:type="dxa"/>
            <w:vMerge w:val="continue"/>
            <w:vAlign w:val="center"/>
          </w:tcPr>
          <w:p>
            <w:pPr>
              <w:adjustRightInd w:val="0"/>
              <w:snapToGrid w:val="0"/>
              <w:spacing w:line="290" w:lineRule="exact"/>
              <w:jc w:val="center"/>
              <w:rPr>
                <w:rFonts w:ascii="仿宋_GB2312" w:hAnsi="仿宋_GB2312" w:eastAsia="仿宋_GB2312" w:cs="仿宋_GB2312"/>
                <w:color w:val="000000"/>
                <w:sz w:val="24"/>
                <w:szCs w:val="24"/>
              </w:rPr>
            </w:pPr>
          </w:p>
        </w:tc>
        <w:tc>
          <w:tcPr>
            <w:tcW w:w="1039" w:type="dxa"/>
            <w:vMerge w:val="restart"/>
            <w:vAlign w:val="center"/>
          </w:tcPr>
          <w:p>
            <w:pPr>
              <w:adjustRightInd w:val="0"/>
              <w:snapToGrid w:val="0"/>
              <w:spacing w:line="290" w:lineRule="exact"/>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（二）部分EPC项目建设进度滞后</w:t>
            </w:r>
          </w:p>
        </w:tc>
        <w:tc>
          <w:tcPr>
            <w:tcW w:w="1959" w:type="dxa"/>
            <w:vAlign w:val="center"/>
          </w:tcPr>
          <w:p>
            <w:pPr>
              <w:adjustRightInd w:val="0"/>
              <w:snapToGrid w:val="0"/>
              <w:spacing w:line="290" w:lineRule="exact"/>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19个项目未在规定时间内签订合同</w:t>
            </w:r>
          </w:p>
        </w:tc>
        <w:tc>
          <w:tcPr>
            <w:tcW w:w="5247" w:type="dxa"/>
            <w:vAlign w:val="center"/>
          </w:tcPr>
          <w:p>
            <w:pPr>
              <w:adjustRightInd w:val="0"/>
              <w:snapToGrid w:val="0"/>
              <w:spacing w:line="290" w:lineRule="exac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19个项目未在规定时间内签订合同，占比67.86%。</w:t>
            </w:r>
          </w:p>
        </w:tc>
        <w:tc>
          <w:tcPr>
            <w:tcW w:w="1721" w:type="dxa"/>
            <w:vMerge w:val="continue"/>
            <w:vAlign w:val="center"/>
          </w:tcPr>
          <w:p>
            <w:pPr>
              <w:adjustRightInd w:val="0"/>
              <w:snapToGrid w:val="0"/>
              <w:spacing w:line="290" w:lineRule="exact"/>
              <w:jc w:val="center"/>
              <w:rPr>
                <w:rFonts w:ascii="仿宋_GB2312" w:hAnsi="仿宋_GB2312" w:eastAsia="仿宋_GB2312" w:cs="仿宋_GB2312"/>
                <w:color w:val="000000"/>
                <w:sz w:val="24"/>
                <w:szCs w:val="24"/>
              </w:rPr>
            </w:pPr>
          </w:p>
        </w:tc>
        <w:tc>
          <w:tcPr>
            <w:tcW w:w="3310" w:type="dxa"/>
            <w:vAlign w:val="center"/>
          </w:tcPr>
          <w:p>
            <w:pPr>
              <w:adjustRightInd w:val="0"/>
              <w:snapToGrid w:val="0"/>
              <w:spacing w:line="290" w:lineRule="exac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审计要求，市交通运输局、水务局、建筑工务署、住房保障署要认真查找合同签订时间滞后的原因，严格按照规定及时签订合同。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7" w:type="dxa"/>
            <w:vAlign w:val="center"/>
          </w:tcPr>
          <w:p>
            <w:pPr>
              <w:adjustRightInd w:val="0"/>
              <w:snapToGrid w:val="0"/>
              <w:spacing w:line="290" w:lineRule="exact"/>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56</w:t>
            </w:r>
          </w:p>
        </w:tc>
        <w:tc>
          <w:tcPr>
            <w:tcW w:w="970" w:type="dxa"/>
            <w:vMerge w:val="continue"/>
            <w:vAlign w:val="center"/>
          </w:tcPr>
          <w:p>
            <w:pPr>
              <w:adjustRightInd w:val="0"/>
              <w:snapToGrid w:val="0"/>
              <w:spacing w:line="290" w:lineRule="exact"/>
              <w:jc w:val="center"/>
              <w:rPr>
                <w:rFonts w:ascii="仿宋_GB2312" w:hAnsi="仿宋_GB2312" w:eastAsia="仿宋_GB2312" w:cs="仿宋_GB2312"/>
                <w:color w:val="000000"/>
                <w:sz w:val="24"/>
                <w:szCs w:val="24"/>
              </w:rPr>
            </w:pPr>
          </w:p>
        </w:tc>
        <w:tc>
          <w:tcPr>
            <w:tcW w:w="1039" w:type="dxa"/>
            <w:vMerge w:val="continue"/>
            <w:vAlign w:val="center"/>
          </w:tcPr>
          <w:p>
            <w:pPr>
              <w:adjustRightInd w:val="0"/>
              <w:snapToGrid w:val="0"/>
              <w:spacing w:line="290" w:lineRule="exact"/>
              <w:jc w:val="center"/>
              <w:rPr>
                <w:rFonts w:ascii="仿宋_GB2312" w:hAnsi="仿宋_GB2312" w:eastAsia="仿宋_GB2312" w:cs="仿宋_GB2312"/>
                <w:color w:val="000000"/>
                <w:sz w:val="24"/>
                <w:szCs w:val="24"/>
              </w:rPr>
            </w:pPr>
          </w:p>
        </w:tc>
        <w:tc>
          <w:tcPr>
            <w:tcW w:w="1959" w:type="dxa"/>
            <w:vAlign w:val="center"/>
          </w:tcPr>
          <w:p>
            <w:pPr>
              <w:adjustRightInd w:val="0"/>
              <w:snapToGrid w:val="0"/>
              <w:spacing w:line="290" w:lineRule="exact"/>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5个项目建设进度滞后</w:t>
            </w:r>
          </w:p>
        </w:tc>
        <w:tc>
          <w:tcPr>
            <w:tcW w:w="5247" w:type="dxa"/>
            <w:vAlign w:val="center"/>
          </w:tcPr>
          <w:p>
            <w:pPr>
              <w:adjustRightInd w:val="0"/>
              <w:snapToGrid w:val="0"/>
              <w:spacing w:line="290" w:lineRule="exac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5个项目建设进度滞后，占比17.86%。主要原因是环保用海政策调整、设计方案修改等。其中1个项目由于无法申请围填海指标，截至2020年4月底仍未开工。</w:t>
            </w:r>
          </w:p>
        </w:tc>
        <w:tc>
          <w:tcPr>
            <w:tcW w:w="1721" w:type="dxa"/>
            <w:vAlign w:val="center"/>
          </w:tcPr>
          <w:p>
            <w:pPr>
              <w:adjustRightInd w:val="0"/>
              <w:snapToGrid w:val="0"/>
              <w:spacing w:line="290" w:lineRule="exact"/>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市交通运输局、水务局、建筑工务署</w:t>
            </w:r>
          </w:p>
        </w:tc>
        <w:tc>
          <w:tcPr>
            <w:tcW w:w="3310" w:type="dxa"/>
            <w:vAlign w:val="center"/>
          </w:tcPr>
          <w:p>
            <w:pPr>
              <w:adjustRightInd w:val="0"/>
              <w:snapToGrid w:val="0"/>
              <w:spacing w:line="290" w:lineRule="exac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审计要求，市交通运输局、水务局、建筑工务署要加强工程进度管理，协调解决审批事项，避免工期滞后。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7" w:type="dxa"/>
            <w:vAlign w:val="center"/>
          </w:tcPr>
          <w:p>
            <w:pPr>
              <w:adjustRightInd w:val="0"/>
              <w:snapToGrid w:val="0"/>
              <w:spacing w:line="360" w:lineRule="exact"/>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57</w:t>
            </w:r>
          </w:p>
        </w:tc>
        <w:tc>
          <w:tcPr>
            <w:tcW w:w="970" w:type="dxa"/>
            <w:vMerge w:val="restart"/>
            <w:vAlign w:val="center"/>
          </w:tcPr>
          <w:p>
            <w:pPr>
              <w:adjustRightInd w:val="0"/>
              <w:snapToGrid w:val="0"/>
              <w:spacing w:line="360" w:lineRule="exact"/>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六、政府投资项目审计情况</w:t>
            </w:r>
          </w:p>
        </w:tc>
        <w:tc>
          <w:tcPr>
            <w:tcW w:w="1039" w:type="dxa"/>
            <w:vMerge w:val="restart"/>
            <w:vAlign w:val="center"/>
          </w:tcPr>
          <w:p>
            <w:pPr>
              <w:adjustRightInd w:val="0"/>
              <w:snapToGrid w:val="0"/>
              <w:spacing w:line="360" w:lineRule="exact"/>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（三）部分EPC项目投资控制存在风险</w:t>
            </w:r>
          </w:p>
        </w:tc>
        <w:tc>
          <w:tcPr>
            <w:tcW w:w="1959" w:type="dxa"/>
            <w:vAlign w:val="center"/>
          </w:tcPr>
          <w:p>
            <w:pPr>
              <w:adjustRightInd w:val="0"/>
              <w:snapToGrid w:val="0"/>
              <w:spacing w:line="360" w:lineRule="exact"/>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2个项目存在投资控制增加或合同履行中止风险</w:t>
            </w:r>
          </w:p>
        </w:tc>
        <w:tc>
          <w:tcPr>
            <w:tcW w:w="5247" w:type="dxa"/>
            <w:vAlign w:val="center"/>
          </w:tcPr>
          <w:p>
            <w:pPr>
              <w:adjustRightInd w:val="0"/>
              <w:snapToGrid w:val="0"/>
              <w:spacing w:line="360" w:lineRule="exac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主要原因是在合同执行期间工程所需人工、材料价格大幅上涨，但依据合同约定，合同价款不会因此调整。</w:t>
            </w:r>
          </w:p>
        </w:tc>
        <w:tc>
          <w:tcPr>
            <w:tcW w:w="1721" w:type="dxa"/>
            <w:vAlign w:val="center"/>
          </w:tcPr>
          <w:p>
            <w:pPr>
              <w:adjustRightInd w:val="0"/>
              <w:snapToGrid w:val="0"/>
              <w:spacing w:line="360" w:lineRule="exact"/>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市交通运输局、建筑工务署</w:t>
            </w:r>
          </w:p>
        </w:tc>
        <w:tc>
          <w:tcPr>
            <w:tcW w:w="3310" w:type="dxa"/>
            <w:vAlign w:val="center"/>
          </w:tcPr>
          <w:p>
            <w:pPr>
              <w:adjustRightInd w:val="0"/>
              <w:snapToGrid w:val="0"/>
              <w:spacing w:line="360" w:lineRule="exac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审计要求，市交通运输局、建筑工务署要对上述风险进行慎重研究，确保项目顺利推进、投资可控。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7" w:type="dxa"/>
            <w:vAlign w:val="center"/>
          </w:tcPr>
          <w:p>
            <w:pPr>
              <w:adjustRightInd w:val="0"/>
              <w:snapToGrid w:val="0"/>
              <w:spacing w:line="360" w:lineRule="exact"/>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58</w:t>
            </w:r>
          </w:p>
        </w:tc>
        <w:tc>
          <w:tcPr>
            <w:tcW w:w="970" w:type="dxa"/>
            <w:vMerge w:val="continue"/>
            <w:vAlign w:val="center"/>
          </w:tcPr>
          <w:p>
            <w:pPr>
              <w:adjustRightInd w:val="0"/>
              <w:snapToGrid w:val="0"/>
              <w:spacing w:line="360" w:lineRule="exact"/>
              <w:jc w:val="center"/>
              <w:rPr>
                <w:rFonts w:ascii="仿宋_GB2312" w:hAnsi="仿宋_GB2312" w:eastAsia="仿宋_GB2312" w:cs="仿宋_GB2312"/>
                <w:color w:val="000000"/>
                <w:sz w:val="24"/>
                <w:szCs w:val="24"/>
              </w:rPr>
            </w:pPr>
          </w:p>
        </w:tc>
        <w:tc>
          <w:tcPr>
            <w:tcW w:w="1039" w:type="dxa"/>
            <w:vMerge w:val="continue"/>
            <w:vAlign w:val="center"/>
          </w:tcPr>
          <w:p>
            <w:pPr>
              <w:adjustRightInd w:val="0"/>
              <w:snapToGrid w:val="0"/>
              <w:spacing w:line="360" w:lineRule="exact"/>
              <w:jc w:val="center"/>
              <w:rPr>
                <w:rFonts w:ascii="仿宋_GB2312" w:hAnsi="仿宋_GB2312" w:eastAsia="仿宋_GB2312" w:cs="仿宋_GB2312"/>
                <w:color w:val="000000"/>
                <w:sz w:val="24"/>
                <w:szCs w:val="24"/>
              </w:rPr>
            </w:pPr>
          </w:p>
        </w:tc>
        <w:tc>
          <w:tcPr>
            <w:tcW w:w="1959" w:type="dxa"/>
            <w:vAlign w:val="center"/>
          </w:tcPr>
          <w:p>
            <w:pPr>
              <w:adjustRightInd w:val="0"/>
              <w:snapToGrid w:val="0"/>
              <w:spacing w:line="360" w:lineRule="exact"/>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3个项目结算价超合同价较大</w:t>
            </w:r>
          </w:p>
        </w:tc>
        <w:tc>
          <w:tcPr>
            <w:tcW w:w="5247" w:type="dxa"/>
            <w:vAlign w:val="center"/>
          </w:tcPr>
          <w:p>
            <w:pPr>
              <w:adjustRightInd w:val="0"/>
              <w:snapToGrid w:val="0"/>
              <w:spacing w:line="360" w:lineRule="exac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3个项目分别超出130.66万元、136.45万元、953.33万元，超幅分别为6.58%、16.34%、25.87%。</w:t>
            </w:r>
          </w:p>
        </w:tc>
        <w:tc>
          <w:tcPr>
            <w:tcW w:w="1721" w:type="dxa"/>
            <w:vAlign w:val="center"/>
          </w:tcPr>
          <w:p>
            <w:pPr>
              <w:adjustRightInd w:val="0"/>
              <w:snapToGrid w:val="0"/>
              <w:spacing w:line="360" w:lineRule="exact"/>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市建筑工务署</w:t>
            </w:r>
          </w:p>
        </w:tc>
        <w:tc>
          <w:tcPr>
            <w:tcW w:w="3310" w:type="dxa"/>
            <w:vAlign w:val="center"/>
          </w:tcPr>
          <w:p>
            <w:pPr>
              <w:adjustRightInd w:val="0"/>
              <w:snapToGrid w:val="0"/>
              <w:spacing w:line="360" w:lineRule="exac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审计要求，市建筑工务署要做好项目投资控制，避免结算价大幅超合同价。</w:t>
            </w:r>
          </w:p>
        </w:tc>
      </w:tr>
    </w:tbl>
    <w:p/>
    <w:sectPr>
      <w:pgSz w:w="16838" w:h="11906" w:orient="landscape"/>
      <w:pgMar w:top="1417" w:right="1417" w:bottom="1417"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k1NzI4MTJhNzcwYjEwZTA4YmEyZmE5ZTY3NDA1N2QifQ=="/>
  </w:docVars>
  <w:rsids>
    <w:rsidRoot w:val="2E706902"/>
    <w:rsid w:val="2E706902"/>
    <w:rsid w:val="3A9B6A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16</Pages>
  <Words>10238</Words>
  <Characters>10936</Characters>
  <Lines>0</Lines>
  <Paragraphs>0</Paragraphs>
  <TotalTime>1</TotalTime>
  <ScaleCrop>false</ScaleCrop>
  <LinksUpToDate>false</LinksUpToDate>
  <CharactersWithSpaces>10939</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2020-08-24T01:52:00Z</dcterms:created>
  <dc:creator>Administrator</dc:creator>
  <cp:lastModifiedBy>Administrator</cp:lastModifiedBy>
  <dcterms:modified xsi:type="dcterms:W3CDTF">2022-05-31T04:06:52Z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D2190493F0FF4244A6DEFA56D7D1E22D</vt:lpwstr>
  </property>
</Properties>
</file>