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_GB2312" w:eastAsia="仿宋_GB2312"/>
          <w:sz w:val="28"/>
          <w:szCs w:val="32"/>
        </w:rPr>
      </w:pPr>
      <w:r>
        <w:rPr>
          <w:rFonts w:hint="eastAsia" w:ascii="仿宋_GB2312" w:eastAsia="仿宋_GB2312"/>
          <w:sz w:val="28"/>
          <w:szCs w:val="32"/>
        </w:rPr>
        <w:t>附件：</w:t>
      </w:r>
    </w:p>
    <w:p>
      <w:pPr>
        <w:jc w:val="left"/>
        <w:rPr>
          <w:rFonts w:ascii="方正小标宋简体" w:eastAsia="方正小标宋简体"/>
          <w:sz w:val="40"/>
          <w:szCs w:val="44"/>
        </w:rPr>
      </w:pPr>
      <w:r>
        <w:rPr>
          <w:rFonts w:hint="eastAsia" w:ascii="方正小标宋简体" w:eastAsia="方正小标宋简体"/>
          <w:sz w:val="40"/>
          <w:szCs w:val="44"/>
        </w:rPr>
        <w:t>深圳市审计局2020年在线访谈选题建议汇总表</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5"/>
        <w:gridCol w:w="2776"/>
        <w:gridCol w:w="4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jc w:val="center"/>
              <w:rPr>
                <w:rFonts w:ascii="仿宋_GB2312" w:eastAsia="仿宋_GB2312"/>
                <w:sz w:val="28"/>
                <w:szCs w:val="32"/>
              </w:rPr>
            </w:pPr>
            <w:r>
              <w:rPr>
                <w:rFonts w:hint="eastAsia" w:ascii="仿宋_GB2312" w:eastAsia="仿宋_GB2312"/>
                <w:sz w:val="28"/>
                <w:szCs w:val="32"/>
              </w:rPr>
              <w:t>序号</w:t>
            </w:r>
          </w:p>
        </w:tc>
        <w:tc>
          <w:tcPr>
            <w:tcW w:w="2776" w:type="dxa"/>
          </w:tcPr>
          <w:p>
            <w:pPr>
              <w:jc w:val="center"/>
              <w:rPr>
                <w:rFonts w:ascii="仿宋_GB2312" w:eastAsia="仿宋_GB2312"/>
                <w:sz w:val="28"/>
                <w:szCs w:val="32"/>
              </w:rPr>
            </w:pPr>
            <w:r>
              <w:rPr>
                <w:rFonts w:hint="eastAsia" w:ascii="仿宋_GB2312" w:eastAsia="仿宋_GB2312"/>
                <w:sz w:val="28"/>
                <w:szCs w:val="32"/>
              </w:rPr>
              <w:t>选题题目</w:t>
            </w:r>
          </w:p>
        </w:tc>
        <w:tc>
          <w:tcPr>
            <w:tcW w:w="4381" w:type="dxa"/>
          </w:tcPr>
          <w:p>
            <w:pPr>
              <w:jc w:val="center"/>
              <w:rPr>
                <w:rFonts w:ascii="仿宋_GB2312" w:eastAsia="仿宋_GB2312"/>
                <w:sz w:val="28"/>
                <w:szCs w:val="32"/>
              </w:rPr>
            </w:pPr>
            <w:r>
              <w:rPr>
                <w:rFonts w:hint="eastAsia" w:ascii="仿宋_GB2312" w:eastAsia="仿宋_GB2312"/>
                <w:sz w:val="28"/>
                <w:szCs w:val="32"/>
              </w:rPr>
              <w:t>主要原因及建议依据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jc w:val="center"/>
              <w:rPr>
                <w:rFonts w:ascii="仿宋_GB2312" w:eastAsia="仿宋_GB2312"/>
                <w:sz w:val="22"/>
                <w:szCs w:val="32"/>
              </w:rPr>
            </w:pPr>
          </w:p>
          <w:p>
            <w:pPr>
              <w:jc w:val="center"/>
              <w:rPr>
                <w:rFonts w:ascii="仿宋_GB2312" w:eastAsia="仿宋_GB2312"/>
                <w:sz w:val="22"/>
                <w:szCs w:val="32"/>
              </w:rPr>
            </w:pPr>
            <w:r>
              <w:rPr>
                <w:rFonts w:hint="eastAsia" w:ascii="仿宋_GB2312" w:eastAsia="仿宋_GB2312"/>
                <w:sz w:val="22"/>
                <w:szCs w:val="32"/>
              </w:rPr>
              <w:t>1</w:t>
            </w:r>
          </w:p>
        </w:tc>
        <w:tc>
          <w:tcPr>
            <w:tcW w:w="2776" w:type="dxa"/>
          </w:tcPr>
          <w:p>
            <w:pPr>
              <w:jc w:val="left"/>
              <w:rPr>
                <w:rFonts w:ascii="仿宋_GB2312" w:eastAsia="仿宋_GB2312"/>
                <w:sz w:val="22"/>
                <w:szCs w:val="32"/>
              </w:rPr>
            </w:pPr>
            <w:r>
              <w:rPr>
                <w:rFonts w:hint="eastAsia" w:ascii="仿宋_GB2312" w:eastAsia="仿宋_GB2312"/>
                <w:sz w:val="22"/>
                <w:szCs w:val="32"/>
              </w:rPr>
              <w:t>审计质量提升</w:t>
            </w:r>
          </w:p>
          <w:p>
            <w:pPr>
              <w:jc w:val="left"/>
              <w:rPr>
                <w:rFonts w:ascii="仿宋_GB2312" w:eastAsia="仿宋_GB2312"/>
                <w:sz w:val="22"/>
                <w:szCs w:val="32"/>
              </w:rPr>
            </w:pPr>
          </w:p>
        </w:tc>
        <w:tc>
          <w:tcPr>
            <w:tcW w:w="4381" w:type="dxa"/>
          </w:tcPr>
          <w:p>
            <w:pPr>
              <w:jc w:val="left"/>
              <w:rPr>
                <w:rFonts w:ascii="仿宋_GB2312" w:eastAsia="仿宋_GB2312"/>
                <w:sz w:val="22"/>
                <w:szCs w:val="32"/>
              </w:rPr>
            </w:pPr>
            <w:r>
              <w:rPr>
                <w:rFonts w:hint="eastAsia" w:ascii="仿宋_GB2312" w:eastAsia="仿宋_GB2312"/>
                <w:sz w:val="22"/>
                <w:szCs w:val="32"/>
              </w:rPr>
              <w:t>审计质量是审计工作生命线。2019年为广东省审计机关审计质量提升年，要求切实将质量控制覆盖至审计计划、实施、审理、整改等审计工作全过程、各环节。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jc w:val="center"/>
              <w:rPr>
                <w:rFonts w:ascii="仿宋_GB2312" w:eastAsia="仿宋_GB2312"/>
                <w:sz w:val="22"/>
                <w:szCs w:val="32"/>
              </w:rPr>
            </w:pPr>
          </w:p>
          <w:p>
            <w:pPr>
              <w:jc w:val="center"/>
              <w:rPr>
                <w:rFonts w:ascii="仿宋_GB2312" w:eastAsia="仿宋_GB2312"/>
                <w:sz w:val="22"/>
                <w:szCs w:val="32"/>
              </w:rPr>
            </w:pPr>
            <w:r>
              <w:rPr>
                <w:rFonts w:hint="eastAsia" w:ascii="仿宋_GB2312" w:eastAsia="仿宋_GB2312"/>
                <w:sz w:val="22"/>
                <w:szCs w:val="32"/>
              </w:rPr>
              <w:t>2</w:t>
            </w:r>
          </w:p>
        </w:tc>
        <w:tc>
          <w:tcPr>
            <w:tcW w:w="2776" w:type="dxa"/>
          </w:tcPr>
          <w:p>
            <w:pPr>
              <w:jc w:val="left"/>
              <w:rPr>
                <w:rFonts w:ascii="仿宋_GB2312" w:eastAsia="仿宋_GB2312"/>
                <w:sz w:val="22"/>
                <w:szCs w:val="32"/>
              </w:rPr>
            </w:pPr>
            <w:r>
              <w:rPr>
                <w:rFonts w:hint="eastAsia" w:ascii="仿宋_GB2312" w:eastAsia="仿宋_GB2312"/>
                <w:sz w:val="22"/>
                <w:szCs w:val="32"/>
              </w:rPr>
              <w:t>投资审计实现“三个转变”</w:t>
            </w:r>
          </w:p>
        </w:tc>
        <w:tc>
          <w:tcPr>
            <w:tcW w:w="4381" w:type="dxa"/>
          </w:tcPr>
          <w:p>
            <w:pPr>
              <w:jc w:val="left"/>
              <w:rPr>
                <w:rFonts w:ascii="仿宋_GB2312" w:eastAsia="仿宋_GB2312"/>
                <w:sz w:val="22"/>
                <w:szCs w:val="32"/>
              </w:rPr>
            </w:pPr>
            <w:r>
              <w:rPr>
                <w:rFonts w:hint="eastAsia" w:ascii="仿宋_GB2312" w:eastAsia="仿宋_GB2312"/>
                <w:sz w:val="22"/>
                <w:szCs w:val="32"/>
              </w:rPr>
              <w:t>《审计署关于进一步完善和规范投资审计工作的意见》明确，投资审计要向质量效益转变、向全面投资审计转变、向现代投资审计转变。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jc w:val="center"/>
              <w:rPr>
                <w:rFonts w:ascii="仿宋_GB2312" w:eastAsia="仿宋_GB2312"/>
                <w:sz w:val="22"/>
                <w:szCs w:val="32"/>
              </w:rPr>
            </w:pPr>
          </w:p>
          <w:p>
            <w:pPr>
              <w:jc w:val="center"/>
              <w:rPr>
                <w:rFonts w:ascii="仿宋_GB2312" w:eastAsia="仿宋_GB2312"/>
                <w:sz w:val="22"/>
                <w:szCs w:val="32"/>
              </w:rPr>
            </w:pPr>
            <w:r>
              <w:rPr>
                <w:rFonts w:hint="eastAsia" w:ascii="仿宋_GB2312" w:eastAsia="仿宋_GB2312"/>
                <w:sz w:val="22"/>
                <w:szCs w:val="32"/>
              </w:rPr>
              <w:t>3</w:t>
            </w:r>
          </w:p>
        </w:tc>
        <w:tc>
          <w:tcPr>
            <w:tcW w:w="2776" w:type="dxa"/>
          </w:tcPr>
          <w:p>
            <w:pPr>
              <w:jc w:val="left"/>
              <w:rPr>
                <w:rFonts w:ascii="仿宋_GB2312" w:eastAsia="仿宋_GB2312"/>
                <w:sz w:val="22"/>
                <w:szCs w:val="32"/>
              </w:rPr>
            </w:pPr>
            <w:r>
              <w:rPr>
                <w:rFonts w:hint="eastAsia" w:ascii="仿宋_GB2312" w:eastAsia="仿宋_GB2312"/>
                <w:sz w:val="22"/>
                <w:szCs w:val="32"/>
              </w:rPr>
              <w:t>审计助力重大政策措施贯彻落实</w:t>
            </w:r>
          </w:p>
          <w:p>
            <w:pPr>
              <w:jc w:val="left"/>
              <w:rPr>
                <w:rFonts w:ascii="仿宋_GB2312" w:eastAsia="仿宋_GB2312"/>
                <w:sz w:val="22"/>
                <w:szCs w:val="32"/>
              </w:rPr>
            </w:pPr>
          </w:p>
        </w:tc>
        <w:tc>
          <w:tcPr>
            <w:tcW w:w="4381" w:type="dxa"/>
          </w:tcPr>
          <w:p>
            <w:pPr>
              <w:jc w:val="left"/>
              <w:rPr>
                <w:rFonts w:ascii="仿宋_GB2312" w:eastAsia="仿宋_GB2312"/>
                <w:sz w:val="22"/>
                <w:szCs w:val="32"/>
              </w:rPr>
            </w:pPr>
            <w:r>
              <w:rPr>
                <w:rFonts w:hint="eastAsia" w:ascii="仿宋_GB2312" w:eastAsia="仿宋_GB2312"/>
                <w:sz w:val="22"/>
                <w:szCs w:val="32"/>
              </w:rPr>
              <w:t>中央和省、市密集出台了一系列降成本、支持民营经济发展的政策措施。这些政策是否落实到位、实施效果怎样，很大程度上影响着市场主体信心，关系党委和政府公信力。新时代审计机关应在吃透政策精神基础上，盯住涉及面广、关注度高的政策审深审透，确保政策落地见效。如减税降费、清理拖欠民营企业中小企业账款、东西部扶贫协作、粤港澳大湾区建设、支持实体经济发展、营商环境优化、支持民营经济“四个千亿”、重点领域改革等方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jc w:val="center"/>
              <w:rPr>
                <w:rFonts w:ascii="仿宋_GB2312" w:eastAsia="仿宋_GB2312"/>
                <w:sz w:val="22"/>
                <w:szCs w:val="32"/>
              </w:rPr>
            </w:pPr>
          </w:p>
          <w:p>
            <w:pPr>
              <w:jc w:val="center"/>
              <w:rPr>
                <w:rFonts w:ascii="仿宋_GB2312" w:eastAsia="仿宋_GB2312"/>
                <w:sz w:val="22"/>
                <w:szCs w:val="32"/>
              </w:rPr>
            </w:pPr>
            <w:r>
              <w:rPr>
                <w:rFonts w:hint="eastAsia" w:ascii="仿宋_GB2312" w:eastAsia="仿宋_GB2312"/>
                <w:sz w:val="22"/>
                <w:szCs w:val="32"/>
              </w:rPr>
              <w:t>4</w:t>
            </w:r>
          </w:p>
        </w:tc>
        <w:tc>
          <w:tcPr>
            <w:tcW w:w="2776" w:type="dxa"/>
          </w:tcPr>
          <w:p>
            <w:pPr>
              <w:jc w:val="left"/>
              <w:rPr>
                <w:rFonts w:ascii="仿宋_GB2312" w:eastAsia="仿宋_GB2312"/>
                <w:sz w:val="22"/>
                <w:szCs w:val="32"/>
              </w:rPr>
            </w:pPr>
            <w:r>
              <w:rPr>
                <w:rFonts w:hint="eastAsia" w:ascii="仿宋_GB2312" w:eastAsia="仿宋_GB2312"/>
                <w:sz w:val="22"/>
                <w:szCs w:val="32"/>
              </w:rPr>
              <w:t>发挥审计作用强化审计整改监督</w:t>
            </w:r>
          </w:p>
          <w:p>
            <w:pPr>
              <w:jc w:val="left"/>
              <w:rPr>
                <w:rFonts w:ascii="仿宋_GB2312" w:eastAsia="仿宋_GB2312"/>
                <w:sz w:val="22"/>
                <w:szCs w:val="32"/>
              </w:rPr>
            </w:pPr>
          </w:p>
          <w:p>
            <w:pPr>
              <w:jc w:val="left"/>
              <w:rPr>
                <w:rFonts w:ascii="仿宋_GB2312" w:eastAsia="仿宋_GB2312"/>
                <w:sz w:val="22"/>
                <w:szCs w:val="32"/>
              </w:rPr>
            </w:pPr>
          </w:p>
          <w:p>
            <w:pPr>
              <w:jc w:val="left"/>
              <w:rPr>
                <w:rFonts w:ascii="仿宋_GB2312" w:eastAsia="仿宋_GB2312"/>
                <w:sz w:val="22"/>
                <w:szCs w:val="32"/>
              </w:rPr>
            </w:pPr>
          </w:p>
        </w:tc>
        <w:tc>
          <w:tcPr>
            <w:tcW w:w="4381" w:type="dxa"/>
          </w:tcPr>
          <w:p>
            <w:pPr>
              <w:jc w:val="left"/>
              <w:rPr>
                <w:rFonts w:ascii="仿宋_GB2312" w:eastAsia="仿宋_GB2312"/>
                <w:sz w:val="22"/>
                <w:szCs w:val="32"/>
              </w:rPr>
            </w:pPr>
            <w:r>
              <w:rPr>
                <w:rFonts w:hint="eastAsia" w:ascii="仿宋_GB2312" w:eastAsia="仿宋_GB2312"/>
                <w:sz w:val="22"/>
                <w:szCs w:val="32"/>
              </w:rPr>
              <w:t>审计整改是审计工作的重要环节和“最后一公里”，审计的最终效果体现在整改上。不少单位对审计结果“虚心接受、诚恳检讨、一切照旧”，审计整改力度发挥不够，审计成效有所折扣。审计机关要提升工作专业性，提高整改意见可操作性，加强联动、形成合力，强化督办、从严问责，建立审计整改协调机制，抓好审计整改工作，“以审促改、以改提效”，充分发挥审计职能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jc w:val="center"/>
              <w:rPr>
                <w:rFonts w:ascii="仿宋_GB2312" w:eastAsia="仿宋_GB2312"/>
                <w:sz w:val="22"/>
                <w:szCs w:val="32"/>
              </w:rPr>
            </w:pPr>
          </w:p>
          <w:p>
            <w:pPr>
              <w:jc w:val="center"/>
              <w:rPr>
                <w:rFonts w:ascii="仿宋_GB2312" w:eastAsia="仿宋_GB2312"/>
                <w:sz w:val="22"/>
                <w:szCs w:val="32"/>
              </w:rPr>
            </w:pPr>
            <w:r>
              <w:rPr>
                <w:rFonts w:hint="eastAsia" w:ascii="仿宋_GB2312" w:eastAsia="仿宋_GB2312"/>
                <w:sz w:val="22"/>
                <w:szCs w:val="32"/>
              </w:rPr>
              <w:t>5</w:t>
            </w:r>
          </w:p>
        </w:tc>
        <w:tc>
          <w:tcPr>
            <w:tcW w:w="2776" w:type="dxa"/>
          </w:tcPr>
          <w:p>
            <w:pPr>
              <w:jc w:val="left"/>
              <w:rPr>
                <w:rFonts w:ascii="仿宋_GB2312" w:eastAsia="仿宋_GB2312"/>
                <w:sz w:val="22"/>
                <w:szCs w:val="32"/>
              </w:rPr>
            </w:pPr>
            <w:r>
              <w:rPr>
                <w:rFonts w:hint="eastAsia" w:ascii="仿宋_GB2312" w:eastAsia="仿宋_GB2312"/>
                <w:sz w:val="22"/>
                <w:szCs w:val="32"/>
              </w:rPr>
              <w:t>全面建设审计监督体系</w:t>
            </w:r>
          </w:p>
          <w:p>
            <w:pPr>
              <w:jc w:val="left"/>
              <w:rPr>
                <w:rFonts w:ascii="仿宋_GB2312" w:eastAsia="仿宋_GB2312"/>
                <w:sz w:val="22"/>
                <w:szCs w:val="32"/>
              </w:rPr>
            </w:pPr>
          </w:p>
        </w:tc>
        <w:tc>
          <w:tcPr>
            <w:tcW w:w="4381" w:type="dxa"/>
          </w:tcPr>
          <w:p>
            <w:pPr>
              <w:jc w:val="left"/>
              <w:rPr>
                <w:rFonts w:ascii="仿宋_GB2312" w:eastAsia="仿宋_GB2312"/>
                <w:sz w:val="22"/>
                <w:szCs w:val="32"/>
              </w:rPr>
            </w:pPr>
            <w:r>
              <w:rPr>
                <w:rFonts w:hint="eastAsia" w:ascii="仿宋_GB2312" w:eastAsia="仿宋_GB2312"/>
                <w:sz w:val="22"/>
                <w:szCs w:val="32"/>
              </w:rPr>
              <w:t>审计体制改革以来，党对审计工作加强了领导,2018年中央审计委员会的成立、习</w:t>
            </w:r>
            <w:r>
              <w:rPr>
                <w:rFonts w:hint="eastAsia" w:ascii="仿宋_GB2312" w:eastAsia="仿宋_GB2312"/>
                <w:sz w:val="22"/>
                <w:szCs w:val="32"/>
                <w:lang w:eastAsia="zh-CN"/>
              </w:rPr>
              <w:t>近平</w:t>
            </w:r>
            <w:bookmarkStart w:id="0" w:name="_GoBack"/>
            <w:bookmarkEnd w:id="0"/>
            <w:r>
              <w:rPr>
                <w:rFonts w:hint="eastAsia" w:ascii="仿宋_GB2312" w:eastAsia="仿宋_GB2312"/>
                <w:sz w:val="22"/>
                <w:szCs w:val="32"/>
              </w:rPr>
              <w:t>总书记在中央审计委员会会议上的讲话精神对审计工作提出了要求，十九届四中全会的召开也作出了新部署。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jc w:val="center"/>
              <w:rPr>
                <w:rFonts w:ascii="仿宋_GB2312" w:eastAsia="仿宋_GB2312"/>
                <w:sz w:val="22"/>
                <w:szCs w:val="32"/>
              </w:rPr>
            </w:pPr>
          </w:p>
          <w:p>
            <w:pPr>
              <w:jc w:val="center"/>
              <w:rPr>
                <w:rFonts w:ascii="仿宋_GB2312" w:eastAsia="仿宋_GB2312"/>
                <w:sz w:val="22"/>
                <w:szCs w:val="32"/>
              </w:rPr>
            </w:pPr>
            <w:r>
              <w:rPr>
                <w:rFonts w:hint="eastAsia" w:ascii="仿宋_GB2312" w:eastAsia="仿宋_GB2312"/>
                <w:sz w:val="22"/>
                <w:szCs w:val="32"/>
              </w:rPr>
              <w:t>6</w:t>
            </w:r>
          </w:p>
        </w:tc>
        <w:tc>
          <w:tcPr>
            <w:tcW w:w="2776" w:type="dxa"/>
          </w:tcPr>
          <w:p>
            <w:pPr>
              <w:jc w:val="left"/>
              <w:rPr>
                <w:rFonts w:ascii="仿宋_GB2312" w:eastAsia="仿宋_GB2312"/>
                <w:sz w:val="22"/>
                <w:szCs w:val="32"/>
              </w:rPr>
            </w:pPr>
            <w:r>
              <w:rPr>
                <w:rFonts w:hint="eastAsia" w:ascii="仿宋_GB2312" w:eastAsia="仿宋_GB2312"/>
                <w:sz w:val="22"/>
                <w:szCs w:val="32"/>
              </w:rPr>
              <w:t>部门预算执行审计构建</w:t>
            </w:r>
          </w:p>
        </w:tc>
        <w:tc>
          <w:tcPr>
            <w:tcW w:w="4381" w:type="dxa"/>
          </w:tcPr>
          <w:p>
            <w:pPr>
              <w:jc w:val="left"/>
              <w:rPr>
                <w:rFonts w:ascii="仿宋_GB2312" w:eastAsia="仿宋_GB2312"/>
                <w:sz w:val="22"/>
                <w:szCs w:val="32"/>
              </w:rPr>
            </w:pPr>
            <w:r>
              <w:rPr>
                <w:rFonts w:hint="eastAsia" w:ascii="仿宋_GB2312" w:eastAsia="仿宋_GB2312"/>
                <w:sz w:val="22"/>
                <w:szCs w:val="32"/>
              </w:rPr>
              <w:t>对部门预算执行审计是审计工作的重要内容，应向公众介绍审计如何有效促进预算管理、提高预算资金使用质量、效益的举措和做法。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jc w:val="center"/>
              <w:rPr>
                <w:rFonts w:ascii="仿宋_GB2312" w:eastAsia="仿宋_GB2312"/>
                <w:sz w:val="22"/>
                <w:szCs w:val="32"/>
              </w:rPr>
            </w:pPr>
          </w:p>
          <w:p>
            <w:pPr>
              <w:jc w:val="center"/>
              <w:rPr>
                <w:rFonts w:ascii="仿宋_GB2312" w:eastAsia="仿宋_GB2312"/>
                <w:sz w:val="22"/>
                <w:szCs w:val="32"/>
              </w:rPr>
            </w:pPr>
            <w:r>
              <w:rPr>
                <w:rFonts w:hint="eastAsia" w:ascii="仿宋_GB2312" w:eastAsia="仿宋_GB2312"/>
                <w:sz w:val="22"/>
                <w:szCs w:val="32"/>
              </w:rPr>
              <w:t>7</w:t>
            </w:r>
          </w:p>
        </w:tc>
        <w:tc>
          <w:tcPr>
            <w:tcW w:w="2776" w:type="dxa"/>
          </w:tcPr>
          <w:p>
            <w:pPr>
              <w:jc w:val="left"/>
              <w:rPr>
                <w:rFonts w:ascii="仿宋_GB2312" w:eastAsia="仿宋_GB2312"/>
                <w:sz w:val="22"/>
                <w:szCs w:val="32"/>
              </w:rPr>
            </w:pPr>
            <w:r>
              <w:rPr>
                <w:rFonts w:hint="eastAsia" w:ascii="仿宋_GB2312" w:eastAsia="仿宋_GB2312"/>
                <w:sz w:val="22"/>
                <w:szCs w:val="32"/>
              </w:rPr>
              <w:t>审计助力服务“双区驱动” 战略发展</w:t>
            </w:r>
          </w:p>
        </w:tc>
        <w:tc>
          <w:tcPr>
            <w:tcW w:w="4381" w:type="dxa"/>
          </w:tcPr>
          <w:p>
            <w:pPr>
              <w:jc w:val="left"/>
              <w:rPr>
                <w:rFonts w:ascii="仿宋_GB2312" w:eastAsia="仿宋_GB2312"/>
                <w:sz w:val="22"/>
                <w:szCs w:val="32"/>
              </w:rPr>
            </w:pPr>
            <w:r>
              <w:rPr>
                <w:rFonts w:hint="eastAsia" w:ascii="仿宋_GB2312" w:eastAsia="仿宋_GB2312"/>
                <w:sz w:val="22"/>
                <w:szCs w:val="32"/>
              </w:rPr>
              <w:t>根据中央、省对建设粤港澳大湾区与对深圳建设中国特色社会主义先行示范区的重视和推动，可讨论研究是否采纳该专题。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tcPr>
          <w:p>
            <w:pPr>
              <w:jc w:val="center"/>
              <w:rPr>
                <w:rFonts w:ascii="仿宋_GB2312" w:eastAsia="仿宋_GB2312"/>
                <w:sz w:val="22"/>
                <w:szCs w:val="32"/>
              </w:rPr>
            </w:pPr>
          </w:p>
          <w:p>
            <w:pPr>
              <w:jc w:val="center"/>
              <w:rPr>
                <w:rFonts w:ascii="仿宋_GB2312" w:eastAsia="仿宋_GB2312"/>
                <w:sz w:val="22"/>
                <w:szCs w:val="32"/>
              </w:rPr>
            </w:pPr>
            <w:r>
              <w:rPr>
                <w:rFonts w:hint="eastAsia" w:ascii="仿宋_GB2312" w:eastAsia="仿宋_GB2312"/>
                <w:sz w:val="22"/>
                <w:szCs w:val="32"/>
              </w:rPr>
              <w:t>8</w:t>
            </w:r>
          </w:p>
        </w:tc>
        <w:tc>
          <w:tcPr>
            <w:tcW w:w="2776" w:type="dxa"/>
          </w:tcPr>
          <w:p>
            <w:pPr>
              <w:jc w:val="left"/>
              <w:rPr>
                <w:rFonts w:ascii="仿宋_GB2312" w:eastAsia="仿宋_GB2312"/>
                <w:sz w:val="22"/>
                <w:szCs w:val="32"/>
              </w:rPr>
            </w:pPr>
            <w:r>
              <w:rPr>
                <w:rFonts w:hint="eastAsia" w:ascii="仿宋_GB2312" w:eastAsia="仿宋_GB2312"/>
                <w:sz w:val="22"/>
                <w:szCs w:val="32"/>
              </w:rPr>
              <w:t>推进实现审计 “两统筹”工作</w:t>
            </w:r>
          </w:p>
        </w:tc>
        <w:tc>
          <w:tcPr>
            <w:tcW w:w="4381" w:type="dxa"/>
          </w:tcPr>
          <w:p>
            <w:pPr>
              <w:jc w:val="left"/>
              <w:rPr>
                <w:rFonts w:ascii="仿宋_GB2312" w:eastAsia="仿宋_GB2312"/>
                <w:sz w:val="22"/>
                <w:szCs w:val="32"/>
              </w:rPr>
            </w:pPr>
            <w:r>
              <w:rPr>
                <w:rFonts w:hint="eastAsia" w:ascii="仿宋_GB2312" w:eastAsia="仿宋_GB2312"/>
                <w:sz w:val="22"/>
                <w:szCs w:val="32"/>
              </w:rPr>
              <w:t>在全面推进审计“两统筹”工作背景下，深圳作为广东省内持续稳定发展的城市之一，如何运用“两统筹”实现资源集约、实现审计全覆盖备受关注。</w:t>
            </w:r>
          </w:p>
        </w:tc>
      </w:tr>
    </w:tbl>
    <w:p>
      <w:pPr>
        <w:jc w:val="left"/>
        <w:rPr>
          <w:rFonts w:ascii="仿宋_GB2312" w:eastAsia="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DA6869"/>
    <w:rsid w:val="1DE27F5D"/>
    <w:rsid w:val="61DA68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2019-12-09T07:23:00Z</dcterms:created>
  <dc:creator>Administrator</dc:creator>
  <cp:lastModifiedBy>Administrator</cp:lastModifiedBy>
  <dcterms:modified xsi:type="dcterms:W3CDTF">2021-05-10T08:29:39Z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48D1807CEF294A5D9ED444DE70E326FC</vt:lpwstr>
  </property>
</Properties>
</file>